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给出相应参考书籍与论文，任务书一般不应低于15篇（开题报告参考文献一般应不低于20篇），建议给出5篇及以上英文文献，注意参考文献格式采用：GB/T 7714-2015 格式引文。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[1] 王鑫林, 李岩, 马超凡, 等. 检索增强生成综述：方法与应用[J]. 计算机科学, 2026, 53(07): 101-117.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[2] 吴海周, 黄俊, 张佳晨. 基于RAG机制的知识库问答性能优化与参数调控研究[J]. 工业控制计算机, 2026, 39(07): 111-113.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[3] 高川, 王龙刚, 朱晓蕾, 等. 云端―本地双模式私有知识库RAG问答系统设计与实现[J]. 计算机时代, 2026(09): 104-109.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[4] 钟晖. 基于RAG的大数据工单智能问答方法[J]. 微型电脑应用, 2026, 42(07): 247-250+257.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[5] 李俊奇, 李子林, 王跃, 等. 基于检索增强与知识库融合的铁科智问系统设计与实现[J]. 铁路计算机应用, 2026, 35(05): 42-45.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[6] 赵中元, 田昌海, 段建勇, 等. 基于事件驱动知识图谱的检索增强生成框架[J]. 计算机工程,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[7] 裴丽娜, 淦欣喆, 陈明, 等. 基于领域HyDE查询增强与LightRAG的水稻种植检索增强生成方法[J]. 智慧农业(中英文),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[8] 陈阳, 孟旭阳, 陈熙. 内嵌RAG的科技文献发现系统测评方法研究[J]. 数字图书馆论坛,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[9] 马成业, 马满堂. 面向大语言模型智能体的查询反馈驱动上下文蒸馏方法[J]. 计算机工程与应用,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[10] 张凯, 满广垠, 叶治荣. 基于混合RAG的铁路工程规范智能问答方法研究[J]. 中国铁路,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[11] 回天, 魏雪梅, 孙延鑫, 等. 结合自适应分块与混合检索生成的态势理解方法[J]. 兵器装备工程学报,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[12] 王颖, 徐海川, 姚东源. 面向工业园区环境探测的检索增强生成系统设计与实现[J]. 计算机科学与探索,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[13] 彭琳. 基于检索增强生成的企业级知识库系统构建与优化[J]. 电脑知识与技术,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[14] 王亮, 张强, 魏韵萧. 基于知识库的智能问答系统构建技术研究[J]. 网络安全与数据治理,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[15] 张墨涵. 融合检索增强的企业私有知识库智能问答系统[J]. 中国新技术新产品,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[16] Lewis P, Perez E, Piktus A, et al. Retrieval-Augmented Generation for Knowledge-Intensive NLP Tasks[C]//Advances in Neural Information Processing Systems. 2020: 9459-9474.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[17] Gao Y, Xiong Y, Gao X, et al. Retrieval-Augmented Generation for Large Language Models: A Survey[J]. arXiv preprint arXiv:2312.10997, 2023.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[18] Malkov Y A, Yashunin D A. Efficient and robust approximate nearest neighbor search using Hierarchical Navigable Small World graphs[J]. IEEE Transactions on Pattern Analysis and Machine Intelligence, 2020, 42(4): 824-836.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[19] Cormack G V, Clarke C L A, Buettcher S. Reciprocal Rank Fusion outperforms Condorcet and individual Rank Learning Methods[C]//Proceedings of the 32nd International ACM SIGIR Conference on Research and Development in Information Retrieval. 2009: 758-759.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[20] Jiang Z, Yan J, Wang S, et al. FLARE: Active Retrieval Augmented Generation[C]//Proceedings of the 2023 Conference on Empirical Methods in Natural Language Processing. 2023: 2118-2132.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