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a8z6f8ekqyc" w:id="0"/>
      <w:bookmarkEnd w:id="0"/>
      <w:r w:rsidDel="00000000" w:rsidR="00000000" w:rsidRPr="00000000">
        <w:rPr>
          <w:rtl w:val="0"/>
        </w:rPr>
        <w:t xml:space="preserve">DITAA Functional Requirements Specification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yaqgb0hxl1do" w:id="1"/>
      <w:bookmarkEnd w:id="1"/>
      <w:r w:rsidDel="00000000" w:rsidR="00000000" w:rsidRPr="00000000">
        <w:rPr>
          <w:rtl w:val="0"/>
        </w:rPr>
        <w:t xml:space="preserve">Daniel Longendelpher | Christopher Menart | Brad Schneider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fw5ka82ul2k" w:id="2"/>
      <w:bookmarkEnd w:id="2"/>
      <w:r w:rsidDel="00000000" w:rsidR="00000000" w:rsidRPr="00000000">
        <w:rPr>
          <w:rtl w:val="0"/>
        </w:rPr>
        <w:t xml:space="preserve">Requirements Listing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table outlines functional requirements for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DIagrams Through Ascii Art (DITAA) software</w:t>
        </w:r>
      </w:hyperlink>
      <w:r w:rsidDel="00000000" w:rsidR="00000000" w:rsidRPr="00000000">
        <w:rPr>
          <w:rtl w:val="0"/>
        </w:rPr>
        <w:t xml:space="preserve">. This represents the existing features of the DITAA software. A separate listing of requirements will be provided for the proposed extended functionality.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9540"/>
        <w:tblGridChange w:id="0">
          <w:tblGrid>
            <w:gridCol w:w="1260"/>
            <w:gridCol w:w="95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convert an input plain text file into a bitmap graphics output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except plaintext input using ASCII or UNICODE encodings.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a command-line interface for operating the tool.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usage help with details for running the program.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open and closed polygons with solid lines in the output based on edges defined by characters in the input text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closed polygons defined by connected ‘-’, ‘|’, and ‘+’ characters (i.e. ‘-’ for horizontal edges, ‘|’ for vertical edges, and ‘+’ for corners).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shall render open polygons defined by connected ‘-’, ‘|’, ‘+’, ‘&lt;’, ‘&gt;’, ‘^’, and ‘v’ characters (i.e. ‘-’ for horizontal edges, ‘|’ for vertical edges, ‘+’ for corners, and ‘&lt;’, ‘&gt;’, ‘^’, ‘v’ for left-, right-, upward-, and downward-facing arrow heads).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rounded corners when the input contains ‘/’ and ‘\’ characters in place of the ‘+’ (square corners) character.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render polygons using dashed lines where any edge in an input polygon contains a ‘:’ (for vertical edges) or ‘=’ (for horizontal edges) character.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separate or join shared edges of two polygons according to indicated user preferences.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textual labels where non-polygon-defining characters are encountered in the input.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a bulleted list where a line of input text is of the form ‘ o XXXX’ where X represents any text (a single space is required before and after the ‘o’ character).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a ‘point marker’ (i.e. a node) when the ‘*’ character is encountered on an edge.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non-rectangular shapes in the place of a rectangular closed polygon when tags of the form ‘{XX}’ are encountered inside of a closed polygon.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a UML Document symbol when the tag ‘{d}’ is encountered within a closed polygon.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a UML Database symbol when the tag ‘{s}’ is encountered within a closed polygon.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a UML Data (I/O) symbol when the tag ‘{io}’ is encountered within a closed polygon.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closed polygons with a colored fill when the input contains a color code of the form ‘cXXX’ where ‘X’ represents a valid hexadecimal digit. The digits shall be interpreted as the red, green, and blue components of the resulting color, respectively.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the following shorthand color codes: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 (cD32)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cBLU (c55B)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cGRE (c9D9)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cPNK (cEAA)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cBLK (c000)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cYEL (cEE3)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accept HTML files as input. For each &lt;pre&gt; tag with the class attribute set to ‘textdiagram’ shall be interpreted as a separate diagram. The value of the ‘id’ attribute shall be used as the resulting diagram filename if provided. Otherwise, the filename shall be generated in the format ‘ditaa_diagram_X.png’ where ‘X’ represents a unique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output a copy of the input HTML file with &lt;pre&gt; tags replaced with &lt;img&gt; tags. The &lt;img&gt; tags shall have an appropriate ‘src’ attribute set to the location of the bitmap diagram that replaces the &lt;pre&gt; tag from the original input file. If no output filename is provided the produced HTML file shall be named ‘xxxx_processed.html’ where ‘xxxx’ represents the original input filename.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27158nien3p4" w:id="3"/>
      <w:bookmarkEnd w:id="3"/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DITAA software is a very simple command line tool with only a few modes of operation. While there are several features exposed through its ASCII syntax, there are only the following limited use cases identified: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Produce Diagram from Text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HTML Input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Usage Help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The following diagram illustrates the relationship between the use cases and actors.</w:t>
      </w:r>
    </w:p>
    <w:p w:rsidR="00000000" w:rsidDel="00000000" w:rsidP="00000000" w:rsidRDefault="00000000" w:rsidRPr="00000000" w14:paraId="0000003F">
      <w:pPr>
        <w:ind w:left="0" w:firstLine="0"/>
        <w:jc w:val="center"/>
        <w:rPr/>
      </w:pPr>
      <w:hyperlink r:id="rId7">
        <w:r w:rsidDel="00000000" w:rsidR="00000000" w:rsidRPr="00000000">
          <w:rPr/>
          <w:drawing>
            <wp:inline distB="19050" distT="19050" distL="19050" distR="19050">
              <wp:extent cx="4433888" cy="2912456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3888" cy="291245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Non-Functional Requirements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These non-functional requirements are intended to be met by the end of the Testing Phase.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contain 5% fewer SLOC than the pre-existing implementation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pass tests for at least 1 software bug known to exist in the pre-existing implementation.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Maintainability Improvements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Improvements to the clarity and maintainability of the pre-existing implementation are also intended: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Adding Design-by-Contract specifications to each class, including class invariants, pre-conditions, post-conditions, and loop invariants?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Reviewing the class structure--possibly consolidating classes, creating new ones (I couldn’t find any easy opportunities on first pass. Code is actually pretty clean already)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UC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UC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UC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UC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UC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UC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UC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UC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UC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taa.sourceforge.net/" TargetMode="External"/><Relationship Id="rId7" Type="http://schemas.openxmlformats.org/officeDocument/2006/relationships/hyperlink" Target="https://app.diagrams.net/?page-id=T5S9OR-i3GHdE-8xFNX2&amp;scale=auto#G1by_JEGlmTloQEYnR8agsPQzdxeN2Z4u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