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308E" w14:textId="77777777" w:rsidR="00B3512A" w:rsidRDefault="00000000">
      <w:pPr>
        <w:ind w:firstLine="0"/>
        <w:jc w:val="center"/>
      </w:pPr>
      <w:r>
        <w:rPr>
          <w:b/>
        </w:rPr>
        <w:t>Neural Network Personalization and GDPR Compliance</w:t>
      </w:r>
    </w:p>
    <w:p w14:paraId="7580A26E" w14:textId="77777777" w:rsidR="00B3512A" w:rsidRDefault="00000000">
      <w:r>
        <w:t>The company’s personalization system is useful, but it needs better privacy limits to fit GDPR expectations. The company collects clicks, page visits, links followed, time spent on pages, location data, and other activity inside the app. That data helps recommend posts, groups, friend requests, news, games, and ads. The problem is not personalization by itself. The problem is collecting almost everything, storing it too long, and using it across several neural network models without making the purpose clear to users.</w:t>
      </w:r>
    </w:p>
    <w:p w14:paraId="62E456E9" w14:textId="77777777" w:rsidR="00B3512A" w:rsidRDefault="00000000">
      <w:r>
        <w:t>A neural network is a computer model that learns patterns from data. The input layer receives information, such as a user’s clicks or content views. The hidden layer processes those details by adjusting weights during training. The output layer gives a prediction, such as which post or ad the user may click next. In simple terms, the model is not thinking like a person. It is using patterns from past behavior to make a likely prediction.</w:t>
      </w:r>
    </w:p>
    <w:p w14:paraId="6CE719B5" w14:textId="77777777" w:rsidR="00B3512A" w:rsidRDefault="00000000">
      <w:r>
        <w:t>Neural networks support personalization because they can sort through a huge amount of user activity. For example, if a user often clicks running content and joins fitness groups, the model may recommend more fitness posts or running ads. This can make the app feel more useful and can make advertising more valuable. However, it also creates ethical concerns. Users may not understand why they are seeing certain content, and the model may repeat unfair patterns from its training data. The ICO explains that AI systems should be explainable and accountable when they affect people (Information Commissioner’s Office [ICO], 2023b).</w:t>
      </w:r>
    </w:p>
    <w:p w14:paraId="78D238A0" w14:textId="77777777" w:rsidR="00B3512A" w:rsidRDefault="00000000">
      <w:r>
        <w:t xml:space="preserve">Several GDPR principles apply to this situation. Transparency means users should be told in plain language what data is collected and how it is used. Purpose limitation means data should be collected for clear reasons, not saved for any possible future use. Data minimization means the company should only collect what it actually needs. Storage limitation means data should not </w:t>
      </w:r>
      <w:r>
        <w:lastRenderedPageBreak/>
        <w:t>be kept forever. The ICO lists these ideas, along with accuracy, confidentiality, and accountability, as major data protection principles (ICO, 2023a).</w:t>
      </w:r>
    </w:p>
    <w:p w14:paraId="33D34657" w14:textId="77777777" w:rsidR="00B3512A" w:rsidRDefault="00000000">
      <w:r>
        <w:t>The official GDPR text makes these concerns even clearer. Article 5 says personal data should be processed fairly, collected for specific purposes, limited to what is necessary, kept accurate, stored only as long as needed, and protected with proper security (Regulation (EU) 2016/679, 2016, Art. 5). In this scenario, the biggest legal risk is that the company appears to collect everything a user does. That sounds too broad for data minimization and purpose limitation. It also creates more security risk because the company has more personal data to protect.</w:t>
      </w:r>
    </w:p>
    <w:p w14:paraId="4B3E46F4" w14:textId="77777777" w:rsidR="00B3512A" w:rsidRDefault="00000000">
      <w:r>
        <w:t>Another concern is profiling. The company is using neural networks to predict what will keep users on the app longer and what ads they may click. This kind of profiling can become risky if it strongly shapes what users see or how they are treated. GDPR Article 22 gives users protections related to some solely automated decisions, including profiling, when those decisions have legal or similarly significant effects (Regulation (EU) 2016/679, 2016, Art. 22). Even if every recommendation does not reach that level, the company should still document and review its models.</w:t>
      </w:r>
    </w:p>
    <w:p w14:paraId="2F34E631" w14:textId="77777777" w:rsidR="00B3512A" w:rsidRDefault="00000000">
      <w:r>
        <w:t>Not collecting data at all is not realistic for this company. The business model depends on personalization and targeted ads, so some data collection is necessary. However, the company does not need unlimited data collection. It can collect recent interest and interaction data for recommendations while avoiding unnecessary data, such as precise location, unless a feature truly needs it. It can also delete or summarize detailed behavior data after a set period instead of keeping it indefinitely.</w:t>
      </w:r>
    </w:p>
    <w:p w14:paraId="1B6FC0B1" w14:textId="77777777" w:rsidR="00B3512A" w:rsidRDefault="00000000">
      <w:r>
        <w:lastRenderedPageBreak/>
        <w:t>The company should use privacy-focused AI practices. Differential privacy can help protect individuals by adding controlled noise while still allowing useful analysis (National Institute of Standards and Technology [NIST], 2021). Federated learning can also help because it can train models while reducing the need to move raw data into one central location, although the trained models still need protection (NIST, 2024). These methods would not fix everything, but they would lower privacy risk while still allowing useful personalization.</w:t>
      </w:r>
    </w:p>
    <w:p w14:paraId="29400671" w14:textId="77777777" w:rsidR="00B3512A" w:rsidRDefault="00000000">
      <w:r>
        <w:t>The company should also change its internal process. First, it should create a data map that shows what data is collected, where it is stored, which model uses it, and why it is needed. Second, it should separate purposes for feed recommendations, friend suggestions, ad targeting, and safety tools. Third, it should reduce unnecessary collection and set clear retention limits. Fourth, users should have simple controls to view, correct, delete, or limit data used for personalization. Simple explanations like “You are seeing this because you interacted with similar posts” would also help users understand the system without exposing trade secrets.</w:t>
      </w:r>
    </w:p>
    <w:p w14:paraId="1843E31D" w14:textId="77777777" w:rsidR="00B3512A" w:rsidRDefault="00000000">
      <w:r>
        <w:t>Finally, the company needs stronger accountability. Each model should have documentation explaining its purpose, data inputs, retention period, privacy risks, and testing results. The company should also test for bias and review security controls. This matters because personalization can affect what people see and how they interact with the app. If the company wants users and regulators to trust its AI, it has to show that the system is being handled responsibly.</w:t>
      </w:r>
    </w:p>
    <w:p w14:paraId="7F6C7CA3" w14:textId="77777777" w:rsidR="00B3512A" w:rsidRDefault="00000000">
      <w:r>
        <w:t>Overall, the company should not stop using neural networks, but it should redesign its data practices around privacy. A better approach would keep personalization but add clearer notices, specific purposes, less data collection, retention limits, strong security, privacy-</w:t>
      </w:r>
      <w:r>
        <w:lastRenderedPageBreak/>
        <w:t>preserving AI methods, and better user control. That would let the company keep the benefits of personalization while reducing GDPR and ethical risk.</w:t>
      </w:r>
    </w:p>
    <w:p w14:paraId="6A003687" w14:textId="77777777" w:rsidR="00411A8F" w:rsidRDefault="00411A8F">
      <w:pPr>
        <w:ind w:firstLine="0"/>
        <w:rPr>
          <w:b/>
        </w:rPr>
      </w:pPr>
    </w:p>
    <w:p w14:paraId="19E08190" w14:textId="77777777" w:rsidR="00411A8F" w:rsidRDefault="00411A8F">
      <w:pPr>
        <w:ind w:firstLine="0"/>
        <w:rPr>
          <w:b/>
        </w:rPr>
      </w:pPr>
    </w:p>
    <w:p w14:paraId="5E155AC2" w14:textId="77777777" w:rsidR="00411A8F" w:rsidRDefault="00411A8F">
      <w:pPr>
        <w:ind w:firstLine="0"/>
        <w:rPr>
          <w:b/>
        </w:rPr>
      </w:pPr>
    </w:p>
    <w:p w14:paraId="7D2C3D17" w14:textId="77777777" w:rsidR="00411A8F" w:rsidRDefault="00411A8F">
      <w:pPr>
        <w:ind w:firstLine="0"/>
        <w:rPr>
          <w:b/>
        </w:rPr>
      </w:pPr>
    </w:p>
    <w:p w14:paraId="552E4A4C" w14:textId="77777777" w:rsidR="00411A8F" w:rsidRDefault="00411A8F">
      <w:pPr>
        <w:ind w:firstLine="0"/>
        <w:rPr>
          <w:b/>
        </w:rPr>
      </w:pPr>
    </w:p>
    <w:p w14:paraId="52EE0E2D" w14:textId="77777777" w:rsidR="00411A8F" w:rsidRDefault="00411A8F">
      <w:pPr>
        <w:ind w:firstLine="0"/>
        <w:rPr>
          <w:b/>
        </w:rPr>
      </w:pPr>
    </w:p>
    <w:p w14:paraId="2C039674" w14:textId="77777777" w:rsidR="00411A8F" w:rsidRDefault="00411A8F">
      <w:pPr>
        <w:ind w:firstLine="0"/>
        <w:rPr>
          <w:b/>
        </w:rPr>
      </w:pPr>
    </w:p>
    <w:p w14:paraId="0BE418E2" w14:textId="77777777" w:rsidR="00411A8F" w:rsidRDefault="00411A8F">
      <w:pPr>
        <w:ind w:firstLine="0"/>
        <w:rPr>
          <w:b/>
        </w:rPr>
      </w:pPr>
    </w:p>
    <w:p w14:paraId="0890825F" w14:textId="77777777" w:rsidR="00411A8F" w:rsidRDefault="00411A8F">
      <w:pPr>
        <w:ind w:firstLine="0"/>
        <w:rPr>
          <w:b/>
        </w:rPr>
      </w:pPr>
    </w:p>
    <w:p w14:paraId="5C724EBC" w14:textId="77777777" w:rsidR="00411A8F" w:rsidRDefault="00411A8F">
      <w:pPr>
        <w:ind w:firstLine="0"/>
        <w:rPr>
          <w:b/>
        </w:rPr>
      </w:pPr>
    </w:p>
    <w:p w14:paraId="3C23F186" w14:textId="77777777" w:rsidR="00411A8F" w:rsidRDefault="00411A8F">
      <w:pPr>
        <w:ind w:firstLine="0"/>
        <w:rPr>
          <w:b/>
        </w:rPr>
      </w:pPr>
    </w:p>
    <w:p w14:paraId="695CB150" w14:textId="77777777" w:rsidR="00411A8F" w:rsidRDefault="00411A8F">
      <w:pPr>
        <w:ind w:firstLine="0"/>
        <w:rPr>
          <w:b/>
        </w:rPr>
      </w:pPr>
    </w:p>
    <w:p w14:paraId="5FB9E98C" w14:textId="77777777" w:rsidR="00411A8F" w:rsidRDefault="00411A8F">
      <w:pPr>
        <w:ind w:firstLine="0"/>
        <w:rPr>
          <w:b/>
        </w:rPr>
      </w:pPr>
    </w:p>
    <w:p w14:paraId="3E8A46D1" w14:textId="77777777" w:rsidR="00411A8F" w:rsidRDefault="00411A8F">
      <w:pPr>
        <w:ind w:firstLine="0"/>
        <w:rPr>
          <w:b/>
        </w:rPr>
      </w:pPr>
    </w:p>
    <w:p w14:paraId="749731B2" w14:textId="77777777" w:rsidR="00411A8F" w:rsidRDefault="00411A8F">
      <w:pPr>
        <w:ind w:firstLine="0"/>
        <w:rPr>
          <w:b/>
        </w:rPr>
      </w:pPr>
    </w:p>
    <w:p w14:paraId="16553C23" w14:textId="77777777" w:rsidR="00411A8F" w:rsidRDefault="00411A8F">
      <w:pPr>
        <w:ind w:firstLine="0"/>
        <w:rPr>
          <w:b/>
        </w:rPr>
      </w:pPr>
    </w:p>
    <w:p w14:paraId="57946EC1" w14:textId="77777777" w:rsidR="00411A8F" w:rsidRDefault="00411A8F">
      <w:pPr>
        <w:ind w:firstLine="0"/>
        <w:rPr>
          <w:b/>
        </w:rPr>
      </w:pPr>
    </w:p>
    <w:p w14:paraId="16457DDC" w14:textId="77777777" w:rsidR="00411A8F" w:rsidRDefault="00411A8F">
      <w:pPr>
        <w:ind w:firstLine="0"/>
        <w:rPr>
          <w:b/>
        </w:rPr>
      </w:pPr>
    </w:p>
    <w:p w14:paraId="51490391" w14:textId="77777777" w:rsidR="00411A8F" w:rsidRDefault="00411A8F">
      <w:pPr>
        <w:ind w:firstLine="0"/>
        <w:rPr>
          <w:b/>
        </w:rPr>
      </w:pPr>
    </w:p>
    <w:p w14:paraId="11AB332E" w14:textId="77777777" w:rsidR="00411A8F" w:rsidRDefault="00411A8F">
      <w:pPr>
        <w:ind w:firstLine="0"/>
        <w:rPr>
          <w:b/>
        </w:rPr>
      </w:pPr>
    </w:p>
    <w:p w14:paraId="2B867E18" w14:textId="77777777" w:rsidR="00411A8F" w:rsidRDefault="00411A8F">
      <w:pPr>
        <w:ind w:firstLine="0"/>
        <w:rPr>
          <w:b/>
        </w:rPr>
      </w:pPr>
    </w:p>
    <w:p w14:paraId="20CB615F" w14:textId="6FD723D4" w:rsidR="00B3512A" w:rsidRDefault="00000000" w:rsidP="00411A8F">
      <w:pPr>
        <w:ind w:firstLine="0"/>
        <w:jc w:val="center"/>
      </w:pPr>
      <w:r>
        <w:rPr>
          <w:b/>
        </w:rPr>
        <w:lastRenderedPageBreak/>
        <w:t>References</w:t>
      </w:r>
    </w:p>
    <w:p w14:paraId="3563408B" w14:textId="77777777" w:rsidR="00B3512A" w:rsidRDefault="00000000">
      <w:pPr>
        <w:ind w:left="720" w:hanging="720"/>
      </w:pPr>
      <w:r>
        <w:t xml:space="preserve">Information Commissioner’s Office. (2023a). A guide to the data protection principles. </w:t>
      </w:r>
      <w:hyperlink r:id="rId8">
        <w:r>
          <w:rPr>
            <w:color w:val="0563C1"/>
            <w:u w:val="single"/>
          </w:rPr>
          <w:t>https://ico.org.uk/for-organisations/uk-gdpr-guidance-and-resources/data-protection-principles/a-guide-to-the-data-protection-principles/</w:t>
        </w:r>
      </w:hyperlink>
    </w:p>
    <w:p w14:paraId="3BAFF5D4" w14:textId="77777777" w:rsidR="00B3512A" w:rsidRDefault="00000000">
      <w:pPr>
        <w:ind w:left="720" w:hanging="720"/>
      </w:pPr>
      <w:r>
        <w:t xml:space="preserve">Information Commissioner’s Office. (2023b). Explaining decisions made with AI. </w:t>
      </w:r>
      <w:hyperlink r:id="rId9">
        <w:r>
          <w:rPr>
            <w:color w:val="0563C1"/>
            <w:u w:val="single"/>
          </w:rPr>
          <w:t>https://ico.org.uk/for-organisations/uk-gdpr-guidance-and-resources/artificial-intelligence/explaining-decisions-made-with-artificial-intelligence/</w:t>
        </w:r>
      </w:hyperlink>
    </w:p>
    <w:p w14:paraId="68769DFB" w14:textId="77777777" w:rsidR="00B3512A" w:rsidRDefault="00000000">
      <w:pPr>
        <w:ind w:left="720" w:hanging="720"/>
      </w:pPr>
      <w:r>
        <w:t xml:space="preserve">National Institute of Standards and Technology. (2021). How to deploy machine learning with differential privacy. </w:t>
      </w:r>
      <w:hyperlink r:id="rId10">
        <w:r>
          <w:rPr>
            <w:color w:val="0563C1"/>
            <w:u w:val="single"/>
          </w:rPr>
          <w:t>https://www.nist.gov/blogs/cybersecurity-insights/how-deploy-machine-learning-differential-privacy</w:t>
        </w:r>
      </w:hyperlink>
    </w:p>
    <w:p w14:paraId="29978977" w14:textId="77777777" w:rsidR="00B3512A" w:rsidRDefault="00000000">
      <w:pPr>
        <w:ind w:left="720" w:hanging="720"/>
      </w:pPr>
      <w:r>
        <w:t xml:space="preserve">National Institute of Standards and Technology. (2024). Protecting trained models in privacy-preserving federated learning. </w:t>
      </w:r>
      <w:hyperlink r:id="rId11">
        <w:r>
          <w:rPr>
            <w:color w:val="0563C1"/>
            <w:u w:val="single"/>
          </w:rPr>
          <w:t>https://www.nist.gov/blogs/cybersecurity-insights/protecting-trained-models-privacy-preserving-federated-learning</w:t>
        </w:r>
      </w:hyperlink>
    </w:p>
    <w:p w14:paraId="3581678F" w14:textId="77777777" w:rsidR="00B3512A" w:rsidRDefault="00000000">
      <w:pPr>
        <w:ind w:left="720" w:hanging="720"/>
      </w:pPr>
      <w:r>
        <w:t xml:space="preserve">Regulation (EU) 2016/679 of the European Parliament and of the Council. (2016). General Data Protection Regulation. </w:t>
      </w:r>
      <w:hyperlink r:id="rId12">
        <w:r>
          <w:rPr>
            <w:color w:val="0563C1"/>
            <w:u w:val="single"/>
          </w:rPr>
          <w:t>https://eur-lex.europa.eu/eli/reg/2016/679/oj</w:t>
        </w:r>
      </w:hyperlink>
    </w:p>
    <w:sectPr w:rsidR="00B3512A" w:rsidSect="00034616">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EB73B" w14:textId="77777777" w:rsidR="00885629" w:rsidRDefault="00885629" w:rsidP="00411A8F">
      <w:pPr>
        <w:spacing w:line="240" w:lineRule="auto"/>
      </w:pPr>
      <w:r>
        <w:separator/>
      </w:r>
    </w:p>
  </w:endnote>
  <w:endnote w:type="continuationSeparator" w:id="0">
    <w:p w14:paraId="6B9EBC0A" w14:textId="77777777" w:rsidR="00885629" w:rsidRDefault="00885629" w:rsidP="00411A8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46398" w14:textId="77777777" w:rsidR="00885629" w:rsidRDefault="00885629" w:rsidP="00411A8F">
      <w:pPr>
        <w:spacing w:line="240" w:lineRule="auto"/>
      </w:pPr>
      <w:r>
        <w:separator/>
      </w:r>
    </w:p>
  </w:footnote>
  <w:footnote w:type="continuationSeparator" w:id="0">
    <w:p w14:paraId="224D2C19" w14:textId="77777777" w:rsidR="00885629" w:rsidRDefault="00885629" w:rsidP="00411A8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7F060" w14:textId="0985AC0F" w:rsidR="00411A8F" w:rsidRPr="00411A8F" w:rsidRDefault="00411A8F" w:rsidP="00411A8F">
    <w:pPr>
      <w:pStyle w:val="Header"/>
      <w:ind w:left="-360" w:firstLine="360"/>
      <w:rPr>
        <w:b/>
        <w:bCs/>
      </w:rPr>
    </w:pPr>
    <w:r w:rsidRPr="00411A8F">
      <w:rPr>
        <w:b/>
        <w:bCs/>
      </w:rPr>
      <w:t>Corey Ralls</w:t>
    </w:r>
    <w:r w:rsidRPr="00411A8F">
      <w:rPr>
        <w:b/>
        <w:bCs/>
      </w:rPr>
      <w:tab/>
    </w:r>
    <w:r w:rsidRPr="00411A8F">
      <w:rPr>
        <w:b/>
        <w:bCs/>
      </w:rPr>
      <w:tab/>
      <w:t>May 28th,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9969757">
    <w:abstractNumId w:val="8"/>
  </w:num>
  <w:num w:numId="2" w16cid:durableId="1222986395">
    <w:abstractNumId w:val="6"/>
  </w:num>
  <w:num w:numId="3" w16cid:durableId="1068647273">
    <w:abstractNumId w:val="5"/>
  </w:num>
  <w:num w:numId="4" w16cid:durableId="1135635807">
    <w:abstractNumId w:val="4"/>
  </w:num>
  <w:num w:numId="5" w16cid:durableId="1545945067">
    <w:abstractNumId w:val="7"/>
  </w:num>
  <w:num w:numId="6" w16cid:durableId="73820533">
    <w:abstractNumId w:val="3"/>
  </w:num>
  <w:num w:numId="7" w16cid:durableId="2141998800">
    <w:abstractNumId w:val="2"/>
  </w:num>
  <w:num w:numId="8" w16cid:durableId="2066367095">
    <w:abstractNumId w:val="1"/>
  </w:num>
  <w:num w:numId="9" w16cid:durableId="1333410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E59"/>
    <w:rsid w:val="0029639D"/>
    <w:rsid w:val="00326F90"/>
    <w:rsid w:val="00411A8F"/>
    <w:rsid w:val="00885629"/>
    <w:rsid w:val="00AA1D8D"/>
    <w:rsid w:val="00B3512A"/>
    <w:rsid w:val="00B47730"/>
    <w:rsid w:val="00CB0664"/>
    <w:rsid w:val="00E065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AD0D8"/>
  <w14:defaultImageDpi w14:val="300"/>
  <w15:docId w15:val="{DE405879-659F-3545-8625-E9F2ADB22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b/>
      <w:color w:val="17365D" w:themeColor="text2" w:themeShade="BF"/>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o.org.uk/for-organisations/uk-gdpr-guidance-and-resources/data-protection-principles/a-guide-to-the-data-protection-principles/"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ur-lex.europa.eu/eli/reg/2016/679/oj"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ist.gov/blogs/cybersecurity-insights/protecting-trained-models-privacy-preserving-federated-learn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nist.gov/blogs/cybersecurity-insights/how-deploy-machine-learning-differential-privacy" TargetMode="External"/><Relationship Id="rId4" Type="http://schemas.openxmlformats.org/officeDocument/2006/relationships/settings" Target="settings.xml"/><Relationship Id="rId9" Type="http://schemas.openxmlformats.org/officeDocument/2006/relationships/hyperlink" Target="https://ico.org.uk/for-organisations/uk-gdpr-guidance-and-resources/artificial-intelligence/explaining-decisions-made-with-artificial-intelligenc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1139</Words>
  <Characters>6494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CJ Ralls</cp:lastModifiedBy>
  <cp:revision>2</cp:revision>
  <dcterms:created xsi:type="dcterms:W3CDTF">2026-06-01T03:02:00Z</dcterms:created>
  <dcterms:modified xsi:type="dcterms:W3CDTF">2026-06-01T03:02:00Z</dcterms:modified>
  <cp:category/>
</cp:coreProperties>
</file>