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color w:val="1D6844"/>
          <w:sz w:val="44"/>
        </w:rPr>
        <w:t>SG@SG Monthly Tournament Runbook</w:t>
      </w:r>
    </w:p>
    <w:p>
      <w:pPr>
        <w:pStyle w:val="Subtitle"/>
      </w:pPr>
      <w:r>
        <w:rPr>
          <w:rFonts w:ascii="Arial" w:hAnsi="Arial" w:eastAsia="Arial"/>
          <w:color w:val="5D6876"/>
          <w:sz w:val="23"/>
        </w:rPr>
        <w:t>Squabbit CSV import, reconciliation, canonical data update, team-pairing capture, and website publication</w:t>
      </w:r>
    </w:p>
    <w:p>
      <w:r>
        <w:rPr>
          <w:rFonts w:ascii="Arial" w:hAnsi="Arial" w:eastAsia="Arial"/>
          <w:color w:val="5D6876"/>
          <w:sz w:val="20"/>
        </w:rPr>
        <w:t>Prepared for Chris Royce | Current workflow date: 2026-05-04</w:t>
      </w:r>
    </w:p>
    <w:tbl>
      <w:tblPr>
        <w:tblStyle w:val="TableGrid"/>
        <w:tblW w:type="auto" w:w="0"/>
        <w:jc w:val="center"/>
        <w:tblLayout w:type="fixed"/>
        <w:tblLook w:firstColumn="1" w:firstRow="1" w:lastColumn="0" w:lastRow="0" w:noHBand="0" w:noVBand="1" w:val="04A0"/>
        <w:tblBorders>
          <w:top w:val="single" w:sz="4" w:space="0" w:color="C9D4CC"/>
          <w:left w:val="single" w:sz="4" w:space="0" w:color="C9D4CC"/>
          <w:bottom w:val="single" w:sz="4" w:space="0" w:color="C9D4CC"/>
          <w:right w:val="single" w:sz="4" w:space="0" w:color="C9D4CC"/>
          <w:insideH w:val="single" w:sz="4" w:space="0" w:color="C9D4CC"/>
          <w:insideV w:val="single" w:sz="4" w:space="0" w:color="C9D4CC"/>
        </w:tblBorders>
      </w:tblPr>
      <w:tblGrid>
        <w:gridCol w:w="9792"/>
      </w:tblGrid>
      <w:tr>
        <w:tc>
          <w:tcPr>
            <w:tcW w:type="dxa" w:w="9360"/>
            <w:shd w:fill="EAF5EF"/>
            <w:tcMar>
              <w:top w:w="80" w:type="dxa"/>
              <w:start w:w="110" w:type="dxa"/>
              <w:bottom w:w="80" w:type="dxa"/>
              <w:end w:w="110" w:type="dxa"/>
            </w:tcMar>
            <w:vAlign w:val="center"/>
          </w:tcPr>
          <w:p>
            <w:r>
              <w:rPr>
                <w:rFonts w:ascii="Arial" w:hAnsi="Arial" w:eastAsia="Arial"/>
                <w:b/>
                <w:color w:val="1D6844"/>
                <w:sz w:val="21"/>
              </w:rPr>
              <w:t>Operating principle</w:t>
            </w:r>
            <w:r>
              <w:br/>
            </w:r>
            <w:r>
              <w:rPr>
                <w:rFonts w:ascii="Arial" w:hAnsi="Arial" w:eastAsia="Arial"/>
                <w:sz w:val="20"/>
              </w:rPr>
              <w:t>Chris downloads the completed Squabbit CSV and tells Codex to process the tournament. Codex imports, reconciles, archives the raw CSV locally, updates canonical data, captures team pairings, rebuilds the website, and publishes only after Chris approves the local review.</w:t>
            </w:r>
          </w:p>
        </w:tc>
      </w:tr>
    </w:tbl>
    <w:p/>
    <w:p>
      <w:pPr>
        <w:pStyle w:val="Heading1"/>
      </w:pPr>
      <w:r>
        <w:rPr>
          <w:rFonts w:ascii="Arial" w:hAnsi="Arial" w:eastAsia="Arial"/>
          <w:color w:val="1D6844"/>
        </w:rPr>
        <w:t>Scope</w:t>
      </w:r>
    </w:p>
    <w:p>
      <w:r>
        <w:rPr>
          <w:rFonts w:ascii="Arial" w:hAnsi="Arial" w:eastAsia="Arial"/>
          <w:sz w:val="21"/>
        </w:rPr>
        <w:t>This runbook covers the standard monthly process for the 2026 tournament year and forward. The Squabbit CSV is the raw source of record for new completed tournaments; canonical CSVs remain the website source of truth after reconciliation.</w:t>
      </w:r>
    </w:p>
    <w:p>
      <w:pPr>
        <w:pStyle w:val="ListBullet"/>
        <w:spacing w:after="100"/>
      </w:pPr>
      <w:r>
        <w:rPr>
          <w:rFonts w:ascii="Arial" w:hAnsi="Arial" w:eastAsia="Arial"/>
          <w:sz w:val="21"/>
        </w:rPr>
        <w:t>Canonical score, payout, handicap, tournament metadata, and team-pairing files live under data/.</w:t>
      </w:r>
    </w:p>
    <w:p>
      <w:pPr>
        <w:pStyle w:val="ListBullet"/>
        <w:spacing w:after="100"/>
      </w:pPr>
      <w:r>
        <w:rPr>
          <w:rFonts w:ascii="Arial" w:hAnsi="Arial" w:eastAsia="Arial"/>
          <w:sz w:val="21"/>
        </w:rPr>
        <w:t>Raw Squabbit exports and WHS identity maps stay local under input/ because they can contain private member data.</w:t>
      </w:r>
    </w:p>
    <w:p>
      <w:pPr>
        <w:pStyle w:val="ListBullet"/>
        <w:spacing w:after="100"/>
      </w:pPr>
      <w:r>
        <w:rPr>
          <w:rFonts w:ascii="Arial" w:hAnsi="Arial" w:eastAsia="Arial"/>
          <w:sz w:val="21"/>
        </w:rPr>
        <w:t>The known April 5, 2025 Greg Funk and Todd Densley gross-score mismatches remain in history but are excluded from gross-score analytics.</w:t>
      </w:r>
    </w:p>
    <w:p>
      <w:pPr>
        <w:pStyle w:val="Heading1"/>
      </w:pPr>
      <w:r>
        <w:rPr>
          <w:rFonts w:ascii="Arial" w:hAnsi="Arial" w:eastAsia="Arial"/>
          <w:color w:val="1D6844"/>
        </w:rPr>
        <w:t>Responsibility Map</w:t>
      </w:r>
    </w:p>
    <w:tbl>
      <w:tblPr>
        <w:tblStyle w:val="TableGrid"/>
        <w:tblW w:type="auto" w:w="0"/>
        <w:jc w:val="center"/>
        <w:tblLayout w:type="fixed"/>
        <w:tblLook w:firstColumn="1" w:firstRow="1" w:lastColumn="0" w:lastRow="0" w:noHBand="0" w:noVBand="1" w:val="04A0"/>
        <w:tblBorders>
          <w:top w:val="single" w:sz="4" w:space="0" w:color="C9D4CC"/>
          <w:left w:val="single" w:sz="4" w:space="0" w:color="C9D4CC"/>
          <w:bottom w:val="single" w:sz="4" w:space="0" w:color="C9D4CC"/>
          <w:right w:val="single" w:sz="4" w:space="0" w:color="C9D4CC"/>
          <w:insideH w:val="single" w:sz="4" w:space="0" w:color="C9D4CC"/>
          <w:insideV w:val="single" w:sz="4" w:space="0" w:color="C9D4CC"/>
        </w:tblBorders>
      </w:tblPr>
      <w:tblGrid>
        <w:gridCol w:w="3264"/>
        <w:gridCol w:w="3264"/>
        <w:gridCol w:w="3264"/>
      </w:tblGrid>
      <w:tr>
        <w:tc>
          <w:tcPr>
            <w:tcW w:type="dxa" w:w="2016"/>
            <w:shd w:fill="DCEFE5"/>
            <w:vAlign w:val="center"/>
            <w:tcMar>
              <w:top w:w="80" w:type="dxa"/>
              <w:start w:w="110" w:type="dxa"/>
              <w:bottom w:w="80" w:type="dxa"/>
              <w:end w:w="110" w:type="dxa"/>
            </w:tcMar>
          </w:tcPr>
          <w:p>
            <w:pPr>
              <w:jc w:val="center"/>
            </w:pPr>
            <w:r>
              <w:rPr>
                <w:rFonts w:ascii="Arial" w:hAnsi="Arial" w:eastAsia="Arial"/>
                <w:b/>
                <w:color w:val="233027"/>
                <w:sz w:val="19"/>
              </w:rPr>
              <w:t>Stage</w:t>
            </w:r>
          </w:p>
        </w:tc>
        <w:tc>
          <w:tcPr>
            <w:tcW w:type="dxa" w:w="3672"/>
            <w:shd w:fill="DCEFE5"/>
            <w:vAlign w:val="center"/>
            <w:tcMar>
              <w:top w:w="80" w:type="dxa"/>
              <w:start w:w="110" w:type="dxa"/>
              <w:bottom w:w="80" w:type="dxa"/>
              <w:end w:w="110" w:type="dxa"/>
            </w:tcMar>
          </w:tcPr>
          <w:p>
            <w:pPr>
              <w:jc w:val="center"/>
            </w:pPr>
            <w:r>
              <w:rPr>
                <w:rFonts w:ascii="Arial" w:hAnsi="Arial" w:eastAsia="Arial"/>
                <w:b/>
                <w:color w:val="233027"/>
                <w:sz w:val="19"/>
              </w:rPr>
              <w:t>Chris</w:t>
            </w:r>
          </w:p>
        </w:tc>
        <w:tc>
          <w:tcPr>
            <w:tcW w:type="dxa" w:w="3672"/>
            <w:shd w:fill="DCEFE5"/>
            <w:vAlign w:val="center"/>
            <w:tcMar>
              <w:top w:w="80" w:type="dxa"/>
              <w:start w:w="110" w:type="dxa"/>
              <w:bottom w:w="80" w:type="dxa"/>
              <w:end w:w="110" w:type="dxa"/>
            </w:tcMar>
          </w:tcPr>
          <w:p>
            <w:pPr>
              <w:jc w:val="center"/>
            </w:pPr>
            <w:r>
              <w:rPr>
                <w:rFonts w:ascii="Arial" w:hAnsi="Arial" w:eastAsia="Arial"/>
                <w:b/>
                <w:color w:val="233027"/>
                <w:sz w:val="19"/>
              </w:rPr>
              <w:t>Codex</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Tournament finalization</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Confirm Squabbit results are final enough to export.</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No action unless asked to inspect Squabbit.</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CSV download</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Export the completed tournament CSV from Squabbit and leave it in Downloads.</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Find the newest/target SG@SG CSV in Downloads.</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Processing request</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Tell Codex the tournament date and that the CSV is ready.</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Confirm source file/date, then run the import and reconciliation workflow.</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Reconciliation</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Review anything Codex flags as ambiguous or needing committee judgment.</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Normalize names, preserve canonical data for existing dates, generate reconciliation reports, and stop on blocking issues.</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Canonical update</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Approve moving past dry run.</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Run dry run, then update canonical CSVs and rebuild the local website.</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Website review</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Review DataAudit, index, result page, and dashboards.</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Summarize changes, known warnings, and files updated.</w:t>
            </w:r>
          </w:p>
        </w:tc>
      </w:tr>
      <w:tr>
        <w:tc>
          <w:tcPr>
            <w:tcW w:type="dxa" w:w="2016"/>
            <w:vAlign w:val="center"/>
            <w:tcMar>
              <w:top w:w="80" w:type="dxa"/>
              <w:start w:w="110" w:type="dxa"/>
              <w:bottom w:w="80" w:type="dxa"/>
              <w:end w:w="110" w:type="dxa"/>
            </w:tcMar>
          </w:tcPr>
          <w:p>
            <w:pPr>
              <w:jc w:val="left"/>
            </w:pPr>
            <w:r>
              <w:rPr>
                <w:rFonts w:ascii="Arial" w:hAnsi="Arial" w:eastAsia="Arial"/>
                <w:color w:val="262D32"/>
                <w:sz w:val="19"/>
              </w:rPr>
              <w:t>Publication</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Explicitly approve publish.</w:t>
            </w:r>
          </w:p>
        </w:tc>
        <w:tc>
          <w:tcPr>
            <w:tcW w:type="dxa" w:w="3672"/>
            <w:vAlign w:val="center"/>
            <w:tcMar>
              <w:top w:w="80" w:type="dxa"/>
              <w:start w:w="110" w:type="dxa"/>
              <w:bottom w:w="80" w:type="dxa"/>
              <w:end w:w="110" w:type="dxa"/>
            </w:tcMar>
          </w:tcPr>
          <w:p>
            <w:pPr>
              <w:jc w:val="left"/>
            </w:pPr>
            <w:r>
              <w:rPr>
                <w:rFonts w:ascii="Arial" w:hAnsi="Arial" w:eastAsia="Arial"/>
                <w:color w:val="262D32"/>
                <w:sz w:val="19"/>
              </w:rPr>
              <w:t>Run publish only after approval; never publish through a workaround.</w:t>
            </w:r>
          </w:p>
        </w:tc>
      </w:tr>
    </w:tbl>
    <w:p/>
    <w:p>
      <w:pPr>
        <w:pStyle w:val="Heading1"/>
      </w:pPr>
      <w:r>
        <w:rPr>
          <w:rFonts w:ascii="Arial" w:hAnsi="Arial" w:eastAsia="Arial"/>
          <w:color w:val="1D6844"/>
        </w:rPr>
        <w:t>Monthly Steps</w:t>
      </w:r>
    </w:p>
    <w:p>
      <w:pPr>
        <w:pStyle w:val="Heading2"/>
      </w:pPr>
      <w:r>
        <w:rPr>
          <w:rFonts w:ascii="Arial" w:hAnsi="Arial" w:eastAsia="Arial"/>
          <w:color w:val="1D6844"/>
        </w:rPr>
        <w:t>1. Chris downloads the Squabbit CSV</w:t>
      </w:r>
    </w:p>
    <w:p>
      <w:pPr>
        <w:pStyle w:val="ListNumber"/>
        <w:spacing w:after="100"/>
      </w:pPr>
      <w:r>
        <w:rPr>
          <w:rFonts w:ascii="Arial" w:hAnsi="Arial" w:eastAsia="Arial"/>
          <w:sz w:val="21"/>
        </w:rPr>
        <w:t>Open the completed tournament in Squabbit.</w:t>
      </w:r>
    </w:p>
    <w:p>
      <w:pPr>
        <w:pStyle w:val="ListNumber"/>
        <w:spacing w:after="100"/>
      </w:pPr>
      <w:r>
        <w:rPr>
          <w:rFonts w:ascii="Arial" w:hAnsi="Arial" w:eastAsia="Arial"/>
          <w:sz w:val="21"/>
        </w:rPr>
        <w:t>Open the gear/settings menu.</w:t>
      </w:r>
    </w:p>
    <w:p>
      <w:pPr>
        <w:pStyle w:val="ListNumber"/>
        <w:spacing w:after="100"/>
      </w:pPr>
      <w:r>
        <w:rPr>
          <w:rFonts w:ascii="Arial" w:hAnsi="Arial" w:eastAsia="Arial"/>
          <w:sz w:val="21"/>
        </w:rPr>
        <w:t>Go to Advanced -&gt; Other -&gt; Export as CSV.</w:t>
      </w:r>
    </w:p>
    <w:p>
      <w:pPr>
        <w:pStyle w:val="ListNumber"/>
        <w:spacing w:after="100"/>
      </w:pPr>
      <w:r>
        <w:rPr>
          <w:rFonts w:ascii="Arial" w:hAnsi="Arial" w:eastAsia="Arial"/>
          <w:sz w:val="21"/>
        </w:rPr>
        <w:t>Use Chrome if the in-app browser does not save the CSV.</w:t>
      </w:r>
    </w:p>
    <w:p>
      <w:pPr>
        <w:pStyle w:val="ListNumber"/>
        <w:spacing w:after="100"/>
      </w:pPr>
      <w:r>
        <w:rPr>
          <w:rFonts w:ascii="Arial" w:hAnsi="Arial" w:eastAsia="Arial"/>
          <w:sz w:val="21"/>
        </w:rPr>
        <w:t>Leave the downloaded CSV in /Users/chrisroyce/Downloads/.</w:t>
      </w:r>
    </w:p>
    <w:p>
      <w:pPr>
        <w:pStyle w:val="Heading2"/>
      </w:pPr>
      <w:r>
        <w:rPr>
          <w:rFonts w:ascii="Arial" w:hAnsi="Arial" w:eastAsia="Arial"/>
          <w:color w:val="1D6844"/>
        </w:rPr>
        <w:t>2. Chris gives Codex the processing request</w:t>
      </w:r>
    </w:p>
    <w:p>
      <w:r>
        <w:rPr>
          <w:rFonts w:ascii="Arial" w:hAnsi="Arial" w:eastAsia="Arial"/>
          <w:b/>
          <w:sz w:val="21"/>
        </w:rPr>
        <w:t>Recommended prompt:</w:t>
      </w:r>
    </w:p>
    <w:p>
      <w:pPr>
        <w:spacing w:before="0" w:after="40"/>
        <w:ind w:left="360"/>
      </w:pPr>
      <w:r>
        <w:rPr>
          <w:rFonts w:ascii="Courier New" w:hAnsi="Courier New" w:eastAsia="Courier New"/>
          <w:color w:val="22372C"/>
          <w:sz w:val="19"/>
        </w:rPr>
        <w:t>Process the SG@SG tournament CSV I just downloaded from Squabbit for &lt;date&gt;.</w:t>
      </w:r>
    </w:p>
    <w:p>
      <w:pPr>
        <w:spacing w:before="0" w:after="40"/>
        <w:ind w:left="360"/>
      </w:pPr>
      <w:r>
        <w:rPr>
          <w:rFonts w:ascii="Courier New" w:hAnsi="Courier New" w:eastAsia="Courier New"/>
          <w:color w:val="22372C"/>
          <w:sz w:val="19"/>
        </w:rPr>
        <w:t>Archive the source CSV locally, reconcile it, dry-run the canonical update,</w:t>
      </w:r>
    </w:p>
    <w:p>
      <w:pPr>
        <w:spacing w:before="0" w:after="40"/>
        <w:ind w:left="360"/>
      </w:pPr>
      <w:r>
        <w:rPr>
          <w:rFonts w:ascii="Courier New" w:hAnsi="Courier New" w:eastAsia="Courier New"/>
          <w:color w:val="22372C"/>
          <w:sz w:val="19"/>
        </w:rPr>
        <w:t>rebuild the website locally, and show me anything I need to review before publish.</w:t>
      </w:r>
    </w:p>
    <w:p>
      <w:pPr>
        <w:pStyle w:val="Heading2"/>
      </w:pPr>
      <w:r>
        <w:rPr>
          <w:rFonts w:ascii="Arial" w:hAnsi="Arial" w:eastAsia="Arial"/>
          <w:color w:val="1D6844"/>
        </w:rPr>
        <w:t>3. Codex runs import and local archiving</w:t>
      </w:r>
    </w:p>
    <w:p>
      <w:pPr>
        <w:spacing w:before="0" w:after="40"/>
        <w:ind w:left="360"/>
      </w:pPr>
      <w:r>
        <w:rPr>
          <w:rFonts w:ascii="Courier New" w:hAnsi="Courier New" w:eastAsia="Courier New"/>
          <w:color w:val="22372C"/>
          <w:sz w:val="19"/>
        </w:rPr>
        <w:t>./venv/bin/python scripts/import_squabbit_csv.py "/Users/chrisroyce/Downloads/SG@SG(&lt;event&gt;).csv" \</w:t>
      </w:r>
    </w:p>
    <w:p>
      <w:pPr>
        <w:spacing w:before="0" w:after="40"/>
        <w:ind w:left="360"/>
      </w:pPr>
      <w:r>
        <w:rPr>
          <w:rFonts w:ascii="Courier New" w:hAnsi="Courier New" w:eastAsia="Courier New"/>
          <w:color w:val="22372C"/>
          <w:sz w:val="19"/>
        </w:rPr>
        <w:t xml:space="preserve">  --tournaments-out data/tournaments.csv \</w:t>
      </w:r>
    </w:p>
    <w:p>
      <w:pPr>
        <w:spacing w:before="0" w:after="40"/>
        <w:ind w:left="360"/>
      </w:pPr>
      <w:r>
        <w:rPr>
          <w:rFonts w:ascii="Courier New" w:hAnsi="Courier New" w:eastAsia="Courier New"/>
          <w:color w:val="22372C"/>
          <w:sz w:val="19"/>
        </w:rPr>
        <w:t xml:space="preserve">  --team-pairings-out data/team_pairings.csv \</w:t>
      </w:r>
    </w:p>
    <w:p>
      <w:pPr>
        <w:spacing w:before="0" w:after="40"/>
        <w:ind w:left="360"/>
      </w:pPr>
      <w:r>
        <w:rPr>
          <w:rFonts w:ascii="Courier New" w:hAnsi="Courier New" w:eastAsia="Courier New"/>
          <w:color w:val="22372C"/>
          <w:sz w:val="19"/>
        </w:rPr>
        <w:t xml:space="preserve">  --archive-source-csvs</w:t>
      </w:r>
    </w:p>
    <w:p>
      <w:pPr>
        <w:pStyle w:val="ListBullet"/>
        <w:spacing w:after="100"/>
      </w:pPr>
      <w:r>
        <w:rPr>
          <w:rFonts w:ascii="Arial" w:hAnsi="Arial" w:eastAsia="Arial"/>
          <w:sz w:val="21"/>
        </w:rPr>
        <w:t>The raw CSV is moved to input/raw_exports/YYYY-MM-DD/ after successful import.</w:t>
      </w:r>
    </w:p>
    <w:p>
      <w:pPr>
        <w:pStyle w:val="ListBullet"/>
        <w:spacing w:after="100"/>
      </w:pPr>
      <w:r>
        <w:rPr>
          <w:rFonts w:ascii="Arial" w:hAnsi="Arial" w:eastAsia="Arial"/>
          <w:sz w:val="21"/>
        </w:rPr>
        <w:t>The reviewed ingest file is written to input/tournament_data.from_squabbit.json.</w:t>
      </w:r>
    </w:p>
    <w:p>
      <w:pPr>
        <w:pStyle w:val="ListBullet"/>
        <w:spacing w:after="100"/>
      </w:pPr>
      <w:r>
        <w:rPr>
          <w:rFonts w:ascii="Arial" w:hAnsi="Arial" w:eastAsia="Arial"/>
          <w:sz w:val="21"/>
        </w:rPr>
        <w:t>The reconciliation reports are written to input/squabbit_reconciliation_report.md and .json.</w:t>
      </w:r>
    </w:p>
    <w:p>
      <w:pPr>
        <w:pStyle w:val="ListBullet"/>
        <w:spacing w:after="100"/>
      </w:pPr>
      <w:r>
        <w:rPr>
          <w:rFonts w:ascii="Arial" w:hAnsi="Arial" w:eastAsia="Arial"/>
          <w:sz w:val="21"/>
        </w:rPr>
        <w:t>The local WHS/name identity map is updated at input/identity/squabbit_players.csv.</w:t>
      </w:r>
    </w:p>
    <w:p>
      <w:pPr>
        <w:pStyle w:val="Heading2"/>
      </w:pPr>
      <w:r>
        <w:rPr>
          <w:rFonts w:ascii="Arial" w:hAnsi="Arial" w:eastAsia="Arial"/>
          <w:color w:val="1D6844"/>
        </w:rPr>
        <w:t>4. Codex reviews the reconciliation report</w:t>
      </w:r>
    </w:p>
    <w:tbl>
      <w:tblPr>
        <w:tblStyle w:val="TableGrid"/>
        <w:tblW w:type="auto" w:w="0"/>
        <w:jc w:val="center"/>
        <w:tblLayout w:type="fixed"/>
        <w:tblLook w:firstColumn="1" w:firstRow="1" w:lastColumn="0" w:lastRow="0" w:noHBand="0" w:noVBand="1" w:val="04A0"/>
        <w:tblBorders>
          <w:top w:val="single" w:sz="4" w:space="0" w:color="C9D4CC"/>
          <w:left w:val="single" w:sz="4" w:space="0" w:color="C9D4CC"/>
          <w:bottom w:val="single" w:sz="4" w:space="0" w:color="C9D4CC"/>
          <w:right w:val="single" w:sz="4" w:space="0" w:color="C9D4CC"/>
          <w:insideH w:val="single" w:sz="4" w:space="0" w:color="C9D4CC"/>
          <w:insideV w:val="single" w:sz="4" w:space="0" w:color="C9D4CC"/>
        </w:tblBorders>
      </w:tblPr>
      <w:tblGrid>
        <w:gridCol w:w="3264"/>
        <w:gridCol w:w="3264"/>
        <w:gridCol w:w="3264"/>
      </w:tblGrid>
      <w:tr>
        <w:tc>
          <w:tcPr>
            <w:tcW w:type="dxa" w:w="2376"/>
            <w:shd w:fill="DCEFE5"/>
            <w:vAlign w:val="center"/>
            <w:tcMar>
              <w:top w:w="80" w:type="dxa"/>
              <w:start w:w="110" w:type="dxa"/>
              <w:bottom w:w="80" w:type="dxa"/>
              <w:end w:w="110" w:type="dxa"/>
            </w:tcMar>
          </w:tcPr>
          <w:p>
            <w:pPr>
              <w:jc w:val="center"/>
            </w:pPr>
            <w:r>
              <w:rPr>
                <w:rFonts w:ascii="Arial" w:hAnsi="Arial" w:eastAsia="Arial"/>
                <w:b/>
                <w:color w:val="233027"/>
                <w:sz w:val="19"/>
              </w:rPr>
              <w:t>Report Item</w:t>
            </w:r>
          </w:p>
        </w:tc>
        <w:tc>
          <w:tcPr>
            <w:tcW w:type="dxa" w:w="3384"/>
            <w:shd w:fill="DCEFE5"/>
            <w:vAlign w:val="center"/>
            <w:tcMar>
              <w:top w:w="80" w:type="dxa"/>
              <w:start w:w="110" w:type="dxa"/>
              <w:bottom w:w="80" w:type="dxa"/>
              <w:end w:w="110" w:type="dxa"/>
            </w:tcMar>
          </w:tcPr>
          <w:p>
            <w:pPr>
              <w:jc w:val="center"/>
            </w:pPr>
            <w:r>
              <w:rPr>
                <w:rFonts w:ascii="Arial" w:hAnsi="Arial" w:eastAsia="Arial"/>
                <w:b/>
                <w:color w:val="233027"/>
                <w:sz w:val="19"/>
              </w:rPr>
              <w:t>Meaning</w:t>
            </w:r>
          </w:p>
        </w:tc>
        <w:tc>
          <w:tcPr>
            <w:tcW w:type="dxa" w:w="3600"/>
            <w:shd w:fill="DCEFE5"/>
            <w:vAlign w:val="center"/>
            <w:tcMar>
              <w:top w:w="80" w:type="dxa"/>
              <w:start w:w="110" w:type="dxa"/>
              <w:bottom w:w="80" w:type="dxa"/>
              <w:end w:w="110" w:type="dxa"/>
            </w:tcMar>
          </w:tcPr>
          <w:p>
            <w:pPr>
              <w:jc w:val="center"/>
            </w:pPr>
            <w:r>
              <w:rPr>
                <w:rFonts w:ascii="Arial" w:hAnsi="Arial" w:eastAsia="Arial"/>
                <w:b/>
                <w:color w:val="233027"/>
                <w:sz w:val="19"/>
              </w:rPr>
              <w:t>Resolution Rule</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identity_conflicts</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A WHS ID maps to a different canonical name than before.</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Stop and ask Chris before ingest.</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missing_handicaps</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A scored player lacks a handicap in the export.</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Resolve from Squabbit/canonical before ingest.</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players_missing_from_players_section</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A scorecard row does not match the Players section.</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Stop; source is inconsistent.</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incomplete_team_rows</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Squabbit exported an incomplete team row.</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Review team list before ingest.</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won_reconciliation_issues</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Derived game payouts do not reconcile to Squabbit Won totals.</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Review payout categories before ingest.</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canonical_added / overrides</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For existing dates, canonical rows repaired or replaced incoming export rows.</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Expected only when reprocessing existing dates.</w:t>
            </w:r>
          </w:p>
        </w:tc>
      </w:tr>
      <w:tr>
        <w:tc>
          <w:tcPr>
            <w:tcW w:type="dxa" w:w="2376"/>
            <w:vAlign w:val="center"/>
            <w:tcMar>
              <w:top w:w="80" w:type="dxa"/>
              <w:start w:w="110" w:type="dxa"/>
              <w:bottom w:w="80" w:type="dxa"/>
              <w:end w:w="110" w:type="dxa"/>
            </w:tcMar>
          </w:tcPr>
          <w:p>
            <w:pPr>
              <w:jc w:val="left"/>
            </w:pPr>
            <w:r>
              <w:rPr>
                <w:rFonts w:ascii="Arial" w:hAnsi="Arial" w:eastAsia="Arial"/>
                <w:color w:val="262D32"/>
                <w:sz w:val="19"/>
              </w:rPr>
              <w:t>team_pairings_preserved</w:t>
            </w:r>
          </w:p>
        </w:tc>
        <w:tc>
          <w:tcPr>
            <w:tcW w:type="dxa" w:w="3384"/>
            <w:vAlign w:val="center"/>
            <w:tcMar>
              <w:top w:w="80" w:type="dxa"/>
              <w:start w:w="110" w:type="dxa"/>
              <w:bottom w:w="80" w:type="dxa"/>
              <w:end w:w="110" w:type="dxa"/>
            </w:tcMar>
          </w:tcPr>
          <w:p>
            <w:pPr>
              <w:jc w:val="left"/>
            </w:pPr>
            <w:r>
              <w:rPr>
                <w:rFonts w:ascii="Arial" w:hAnsi="Arial" w:eastAsia="Arial"/>
                <w:color w:val="262D32"/>
                <w:sz w:val="19"/>
              </w:rPr>
              <w:t>Team rows already existed for that date.</w:t>
            </w:r>
          </w:p>
        </w:tc>
        <w:tc>
          <w:tcPr>
            <w:tcW w:type="dxa" w:w="3600"/>
            <w:vAlign w:val="center"/>
            <w:tcMar>
              <w:top w:w="80" w:type="dxa"/>
              <w:start w:w="110" w:type="dxa"/>
              <w:bottom w:w="80" w:type="dxa"/>
              <w:end w:w="110" w:type="dxa"/>
            </w:tcMar>
          </w:tcPr>
          <w:p>
            <w:pPr>
              <w:jc w:val="left"/>
            </w:pPr>
            <w:r>
              <w:rPr>
                <w:rFonts w:ascii="Arial" w:hAnsi="Arial" w:eastAsia="Arial"/>
                <w:color w:val="262D32"/>
                <w:sz w:val="19"/>
              </w:rPr>
              <w:t>Existing pairings stay authoritative.</w:t>
            </w:r>
          </w:p>
        </w:tc>
      </w:tr>
    </w:tbl>
    <w:p/>
    <w:p>
      <w:pPr>
        <w:pStyle w:val="Heading2"/>
      </w:pPr>
      <w:r>
        <w:rPr>
          <w:rFonts w:ascii="Arial" w:hAnsi="Arial" w:eastAsia="Arial"/>
          <w:color w:val="1D6844"/>
        </w:rPr>
        <w:t>5. Codex audits and dry-runs</w:t>
      </w:r>
    </w:p>
    <w:p>
      <w:pPr>
        <w:spacing w:before="0" w:after="40"/>
        <w:ind w:left="360"/>
      </w:pPr>
      <w:r>
        <w:rPr>
          <w:rFonts w:ascii="Courier New" w:hAnsi="Courier New" w:eastAsia="Courier New"/>
          <w:color w:val="22372C"/>
          <w:sz w:val="19"/>
        </w:rPr>
        <w:t>./venv/bin/python scripts/audit_canonical_data.py --json-file input/tournament_data.from_squabbit.json</w:t>
      </w:r>
    </w:p>
    <w:p>
      <w:pPr>
        <w:spacing w:before="0" w:after="40"/>
        <w:ind w:left="360"/>
      </w:pPr>
      <w:r>
        <w:rPr>
          <w:rFonts w:ascii="Courier New" w:hAnsi="Courier New" w:eastAsia="Courier New"/>
          <w:color w:val="22372C"/>
          <w:sz w:val="19"/>
        </w:rPr>
        <w:t>./venv/bin/python scripts/process_tournament.py input/tournament_data.from_squabbit.json --dry-run</w:t>
      </w:r>
    </w:p>
    <w:p>
      <w:pPr>
        <w:pStyle w:val="ListBullet"/>
        <w:spacing w:after="100"/>
      </w:pPr>
      <w:r>
        <w:rPr>
          <w:rFonts w:ascii="Arial" w:hAnsi="Arial" w:eastAsia="Arial"/>
          <w:sz w:val="21"/>
        </w:rPr>
        <w:t>Validation must show zero payload errors.</w:t>
      </w:r>
    </w:p>
    <w:p>
      <w:pPr>
        <w:pStyle w:val="ListBullet"/>
        <w:spacing w:after="100"/>
      </w:pPr>
      <w:r>
        <w:rPr>
          <w:rFonts w:ascii="Arial" w:hAnsi="Arial" w:eastAsia="Arial"/>
          <w:sz w:val="21"/>
        </w:rPr>
        <w:t>Duplicate canonical keys must be zero.</w:t>
      </w:r>
    </w:p>
    <w:p>
      <w:pPr>
        <w:pStyle w:val="ListBullet"/>
        <w:spacing w:after="100"/>
      </w:pPr>
      <w:r>
        <w:rPr>
          <w:rFonts w:ascii="Arial" w:hAnsi="Arial" w:eastAsia="Arial"/>
          <w:sz w:val="21"/>
        </w:rPr>
        <w:t>Gross score must equal H1-H18 unless an explicit historical exception exists.</w:t>
      </w:r>
    </w:p>
    <w:p>
      <w:pPr>
        <w:pStyle w:val="ListBullet"/>
        <w:spacing w:after="100"/>
      </w:pPr>
      <w:r>
        <w:rPr>
          <w:rFonts w:ascii="Arial" w:hAnsi="Arial" w:eastAsia="Arial"/>
          <w:sz w:val="21"/>
        </w:rPr>
        <w:t>Scores must have matching handicap snapshots.</w:t>
      </w:r>
    </w:p>
    <w:p>
      <w:pPr>
        <w:pStyle w:val="Heading2"/>
      </w:pPr>
      <w:r>
        <w:rPr>
          <w:rFonts w:ascii="Arial" w:hAnsi="Arial" w:eastAsia="Arial"/>
          <w:color w:val="1D6844"/>
        </w:rPr>
        <w:t>6. Codex updates canonical data and rebuilds locally</w:t>
      </w:r>
    </w:p>
    <w:p>
      <w:pPr>
        <w:spacing w:before="0" w:after="40"/>
        <w:ind w:left="360"/>
      </w:pPr>
      <w:r>
        <w:rPr>
          <w:rFonts w:ascii="Courier New" w:hAnsi="Courier New" w:eastAsia="Courier New"/>
          <w:color w:val="22372C"/>
          <w:sz w:val="19"/>
        </w:rPr>
        <w:t>./venv/bin/python scripts/process_tournament.py input/tournament_data.from_squabbit.json</w:t>
      </w:r>
    </w:p>
    <w:p>
      <w:pPr>
        <w:pStyle w:val="ListBullet"/>
        <w:spacing w:after="100"/>
      </w:pPr>
      <w:r>
        <w:rPr>
          <w:rFonts w:ascii="Arial" w:hAnsi="Arial" w:eastAsia="Arial"/>
          <w:sz w:val="21"/>
        </w:rPr>
        <w:t>Updates data/scores.csv, data/financials.csv, and data/handicaps.csv.</w:t>
      </w:r>
    </w:p>
    <w:p>
      <w:pPr>
        <w:pStyle w:val="ListBullet"/>
        <w:spacing w:after="100"/>
      </w:pPr>
      <w:r>
        <w:rPr>
          <w:rFonts w:ascii="Arial" w:hAnsi="Arial" w:eastAsia="Arial"/>
          <w:sz w:val="21"/>
        </w:rPr>
        <w:t>Updates data/tournaments.csv and data/team_pairings.csv from the import step.</w:t>
      </w:r>
    </w:p>
    <w:p>
      <w:pPr>
        <w:pStyle w:val="ListBullet"/>
        <w:spacing w:after="100"/>
      </w:pPr>
      <w:r>
        <w:rPr>
          <w:rFonts w:ascii="Arial" w:hAnsi="Arial" w:eastAsia="Arial"/>
          <w:sz w:val="21"/>
        </w:rPr>
        <w:t>Archives the reviewed JSON under input/history/.</w:t>
      </w:r>
    </w:p>
    <w:p>
      <w:pPr>
        <w:pStyle w:val="ListBullet"/>
        <w:spacing w:after="100"/>
      </w:pPr>
      <w:r>
        <w:rPr>
          <w:rFonts w:ascii="Arial" w:hAnsi="Arial" w:eastAsia="Arial"/>
          <w:sz w:val="21"/>
        </w:rPr>
        <w:t>Regenerates the local static website in website/.</w:t>
      </w:r>
    </w:p>
    <w:p>
      <w:pPr>
        <w:pStyle w:val="Heading2"/>
      </w:pPr>
      <w:r>
        <w:rPr>
          <w:rFonts w:ascii="Arial" w:hAnsi="Arial" w:eastAsia="Arial"/>
          <w:color w:val="1D6844"/>
        </w:rPr>
        <w:t>7. Chris reviews the local website</w:t>
      </w:r>
    </w:p>
    <w:tbl>
      <w:tblPr>
        <w:tblStyle w:val="TableGrid"/>
        <w:tblW w:type="auto" w:w="0"/>
        <w:jc w:val="center"/>
        <w:tblLayout w:type="fixed"/>
        <w:tblLook w:firstColumn="1" w:firstRow="1" w:lastColumn="0" w:lastRow="0" w:noHBand="0" w:noVBand="1" w:val="04A0"/>
        <w:tblBorders>
          <w:top w:val="single" w:sz="4" w:space="0" w:color="C9D4CC"/>
          <w:left w:val="single" w:sz="4" w:space="0" w:color="C9D4CC"/>
          <w:bottom w:val="single" w:sz="4" w:space="0" w:color="C9D4CC"/>
          <w:right w:val="single" w:sz="4" w:space="0" w:color="C9D4CC"/>
          <w:insideH w:val="single" w:sz="4" w:space="0" w:color="C9D4CC"/>
          <w:insideV w:val="single" w:sz="4" w:space="0" w:color="C9D4CC"/>
        </w:tblBorders>
      </w:tblPr>
      <w:tblGrid>
        <w:gridCol w:w="4896"/>
        <w:gridCol w:w="4896"/>
      </w:tblGrid>
      <w:tr>
        <w:tc>
          <w:tcPr>
            <w:tcW w:type="dxa" w:w="3384"/>
            <w:shd w:fill="DCEFE5"/>
            <w:vAlign w:val="center"/>
            <w:tcMar>
              <w:top w:w="80" w:type="dxa"/>
              <w:start w:w="110" w:type="dxa"/>
              <w:bottom w:w="80" w:type="dxa"/>
              <w:end w:w="110" w:type="dxa"/>
            </w:tcMar>
          </w:tcPr>
          <w:p>
            <w:pPr>
              <w:jc w:val="center"/>
            </w:pPr>
            <w:r>
              <w:rPr>
                <w:rFonts w:ascii="Arial" w:hAnsi="Arial" w:eastAsia="Arial"/>
                <w:b/>
                <w:color w:val="233027"/>
                <w:sz w:val="19"/>
              </w:rPr>
              <w:t>Page/File</w:t>
            </w:r>
          </w:p>
        </w:tc>
        <w:tc>
          <w:tcPr>
            <w:tcW w:type="dxa" w:w="5976"/>
            <w:shd w:fill="DCEFE5"/>
            <w:vAlign w:val="center"/>
            <w:tcMar>
              <w:top w:w="80" w:type="dxa"/>
              <w:start w:w="110" w:type="dxa"/>
              <w:bottom w:w="80" w:type="dxa"/>
              <w:end w:w="110" w:type="dxa"/>
            </w:tcMar>
          </w:tcPr>
          <w:p>
            <w:pPr>
              <w:jc w:val="center"/>
            </w:pPr>
            <w:r>
              <w:rPr>
                <w:rFonts w:ascii="Arial" w:hAnsi="Arial" w:eastAsia="Arial"/>
                <w:b/>
                <w:color w:val="233027"/>
                <w:sz w:val="19"/>
              </w:rPr>
              <w:t>What to check</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website/DataAudit.html</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Player/date rows, gross totals, handicap snapshots, payout totals, and review notes.</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website/index.html</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Latest recap, results log, and upcoming/history sections.</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website/results_YYYY-MM-DD.html</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New tournament recap and winners by category.</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website/MoneyList2026.html</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Season payouts by player and category.</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website/PlayerStats.html</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Gross/net scoring stats after exclusions.</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website/HoleIndex.html and AverageScore.html</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Hole difficulty and scoring trend outputs.</w:t>
            </w:r>
          </w:p>
        </w:tc>
      </w:tr>
      <w:tr>
        <w:tc>
          <w:tcPr>
            <w:tcW w:type="dxa" w:w="3384"/>
            <w:vAlign w:val="center"/>
            <w:tcMar>
              <w:top w:w="80" w:type="dxa"/>
              <w:start w:w="110" w:type="dxa"/>
              <w:bottom w:w="80" w:type="dxa"/>
              <w:end w:w="110" w:type="dxa"/>
            </w:tcMar>
          </w:tcPr>
          <w:p>
            <w:pPr>
              <w:jc w:val="left"/>
            </w:pPr>
            <w:r>
              <w:rPr>
                <w:rFonts w:ascii="Arial" w:hAnsi="Arial" w:eastAsia="Arial"/>
                <w:color w:val="262D32"/>
                <w:sz w:val="19"/>
              </w:rPr>
              <w:t>data/team_pairings.csv</w:t>
            </w:r>
          </w:p>
        </w:tc>
        <w:tc>
          <w:tcPr>
            <w:tcW w:type="dxa" w:w="5976"/>
            <w:vAlign w:val="center"/>
            <w:tcMar>
              <w:top w:w="80" w:type="dxa"/>
              <w:start w:w="110" w:type="dxa"/>
              <w:bottom w:w="80" w:type="dxa"/>
              <w:end w:w="110" w:type="dxa"/>
            </w:tcMar>
          </w:tcPr>
          <w:p>
            <w:pPr>
              <w:jc w:val="left"/>
            </w:pPr>
            <w:r>
              <w:rPr>
                <w:rFonts w:ascii="Arial" w:hAnsi="Arial" w:eastAsia="Arial"/>
                <w:color w:val="262D32"/>
                <w:sz w:val="19"/>
              </w:rPr>
              <w:t>Team pairings, rank, score, payout, and source file for future team analytics.</w:t>
            </w:r>
          </w:p>
        </w:tc>
      </w:tr>
    </w:tbl>
    <w:p/>
    <w:p>
      <w:pPr>
        <w:pStyle w:val="Heading2"/>
      </w:pPr>
      <w:r>
        <w:rPr>
          <w:rFonts w:ascii="Arial" w:hAnsi="Arial" w:eastAsia="Arial"/>
          <w:color w:val="1D6844"/>
        </w:rPr>
        <w:t>8. Codex publishes after approval</w:t>
      </w:r>
    </w:p>
    <w:p>
      <w:pPr>
        <w:spacing w:before="0" w:after="40"/>
        <w:ind w:left="360"/>
      </w:pPr>
      <w:r>
        <w:rPr>
          <w:rFonts w:ascii="Courier New" w:hAnsi="Courier New" w:eastAsia="Courier New"/>
          <w:color w:val="22372C"/>
          <w:sz w:val="19"/>
        </w:rPr>
        <w:t>./venv/bin/python scripts/update_site.py --publish</w:t>
      </w:r>
    </w:p>
    <w:p>
      <w:pPr>
        <w:pStyle w:val="ListBullet"/>
        <w:spacing w:after="100"/>
      </w:pPr>
      <w:r>
        <w:rPr>
          <w:rFonts w:ascii="Arial" w:hAnsi="Arial" w:eastAsia="Arial"/>
          <w:sz w:val="21"/>
        </w:rPr>
        <w:t>Publish stages only data/ and website/.</w:t>
      </w:r>
    </w:p>
    <w:p>
      <w:pPr>
        <w:pStyle w:val="ListBullet"/>
        <w:spacing w:after="100"/>
      </w:pPr>
      <w:r>
        <w:rPr>
          <w:rFonts w:ascii="Arial" w:hAnsi="Arial" w:eastAsia="Arial"/>
          <w:sz w:val="21"/>
        </w:rPr>
        <w:t>Publish refuses if unrelated files are dirty.</w:t>
      </w:r>
    </w:p>
    <w:p>
      <w:pPr>
        <w:pStyle w:val="ListBullet"/>
        <w:spacing w:after="100"/>
      </w:pPr>
      <w:r>
        <w:rPr>
          <w:rFonts w:ascii="Arial" w:hAnsi="Arial" w:eastAsia="Arial"/>
          <w:sz w:val="21"/>
        </w:rPr>
        <w:t>Codex should summarize the commit/push result and any residual local changes.</w:t>
      </w:r>
    </w:p>
    <w:p>
      <w:pPr>
        <w:pStyle w:val="Heading1"/>
      </w:pPr>
      <w:r>
        <w:rPr>
          <w:rFonts w:ascii="Arial" w:hAnsi="Arial" w:eastAsia="Arial"/>
          <w:color w:val="1D6844"/>
        </w:rPr>
        <w:t>Data Files and Purpose</w:t>
      </w:r>
    </w:p>
    <w:tbl>
      <w:tblPr>
        <w:tblStyle w:val="TableGrid"/>
        <w:tblW w:type="auto" w:w="0"/>
        <w:jc w:val="center"/>
        <w:tblLayout w:type="fixed"/>
        <w:tblLook w:firstColumn="1" w:firstRow="1" w:lastColumn="0" w:lastRow="0" w:noHBand="0" w:noVBand="1" w:val="04A0"/>
        <w:tblBorders>
          <w:top w:val="single" w:sz="4" w:space="0" w:color="C9D4CC"/>
          <w:left w:val="single" w:sz="4" w:space="0" w:color="C9D4CC"/>
          <w:bottom w:val="single" w:sz="4" w:space="0" w:color="C9D4CC"/>
          <w:right w:val="single" w:sz="4" w:space="0" w:color="C9D4CC"/>
          <w:insideH w:val="single" w:sz="4" w:space="0" w:color="C9D4CC"/>
          <w:insideV w:val="single" w:sz="4" w:space="0" w:color="C9D4CC"/>
        </w:tblBorders>
      </w:tblPr>
      <w:tblGrid>
        <w:gridCol w:w="3264"/>
        <w:gridCol w:w="3264"/>
        <w:gridCol w:w="3264"/>
      </w:tblGrid>
      <w:tr>
        <w:tc>
          <w:tcPr>
            <w:tcW w:type="dxa" w:w="3528"/>
            <w:shd w:fill="DCEFE5"/>
            <w:vAlign w:val="center"/>
            <w:tcMar>
              <w:top w:w="80" w:type="dxa"/>
              <w:start w:w="110" w:type="dxa"/>
              <w:bottom w:w="80" w:type="dxa"/>
              <w:end w:w="110" w:type="dxa"/>
            </w:tcMar>
          </w:tcPr>
          <w:p>
            <w:pPr>
              <w:jc w:val="center"/>
            </w:pPr>
            <w:r>
              <w:rPr>
                <w:rFonts w:ascii="Arial" w:hAnsi="Arial" w:eastAsia="Arial"/>
                <w:b/>
                <w:color w:val="233027"/>
                <w:sz w:val="19"/>
              </w:rPr>
              <w:t>File</w:t>
            </w:r>
          </w:p>
        </w:tc>
        <w:tc>
          <w:tcPr>
            <w:tcW w:type="dxa" w:w="1800"/>
            <w:shd w:fill="DCEFE5"/>
            <w:vAlign w:val="center"/>
            <w:tcMar>
              <w:top w:w="80" w:type="dxa"/>
              <w:start w:w="110" w:type="dxa"/>
              <w:bottom w:w="80" w:type="dxa"/>
              <w:end w:w="110" w:type="dxa"/>
            </w:tcMar>
          </w:tcPr>
          <w:p>
            <w:pPr>
              <w:jc w:val="center"/>
            </w:pPr>
            <w:r>
              <w:rPr>
                <w:rFonts w:ascii="Arial" w:hAnsi="Arial" w:eastAsia="Arial"/>
                <w:b/>
                <w:color w:val="233027"/>
                <w:sz w:val="19"/>
              </w:rPr>
              <w:t>Owner</w:t>
            </w:r>
          </w:p>
        </w:tc>
        <w:tc>
          <w:tcPr>
            <w:tcW w:type="dxa" w:w="4032"/>
            <w:shd w:fill="DCEFE5"/>
            <w:vAlign w:val="center"/>
            <w:tcMar>
              <w:top w:w="80" w:type="dxa"/>
              <w:start w:w="110" w:type="dxa"/>
              <w:bottom w:w="80" w:type="dxa"/>
              <w:end w:w="110" w:type="dxa"/>
            </w:tcMar>
          </w:tcPr>
          <w:p>
            <w:pPr>
              <w:jc w:val="center"/>
            </w:pPr>
            <w:r>
              <w:rPr>
                <w:rFonts w:ascii="Arial" w:hAnsi="Arial" w:eastAsia="Arial"/>
                <w:b/>
                <w:color w:val="233027"/>
                <w:sz w:val="19"/>
              </w:rPr>
              <w:t>Purpose</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data/scores.csv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Canonical hole-by-hole gross scores, gross total, partner, team rank, and individual rank.</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data/financials.csv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Canonical payouts by date, player, category, and amount.</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data/handicaps.csv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Canonical handicap snapshot by date and player.</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data/tournaments.csv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Safe event metadata: date, season, name, format, source file, status.</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data/team_pairings.csv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Safe team history: date, format, team label/rank/score/payout, players, and source file.</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data/score_audit_exceptions.csv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 with Chris approval</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Explicit historical score exceptions excluded from scoring analytics.</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input/raw_exports/</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Ignored local archive of raw Squabbit CSV exports.</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input/identity/squabbit_players.csv</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Ignored local WHS/name identity map used for stable player normalization.</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input/squabbit_reconciliation_report.md</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Human-readable monthly reconciliation report.</w:t>
            </w:r>
          </w:p>
        </w:tc>
      </w:tr>
      <w:tr>
        <w:tc>
          <w:tcPr>
            <w:tcW w:type="dxa" w:w="3528"/>
            <w:vAlign w:val="center"/>
            <w:tcMar>
              <w:top w:w="80" w:type="dxa"/>
              <w:start w:w="110" w:type="dxa"/>
              <w:bottom w:w="80" w:type="dxa"/>
              <w:end w:w="110" w:type="dxa"/>
            </w:tcMar>
          </w:tcPr>
          <w:p>
            <w:pPr>
              <w:jc w:val="left"/>
            </w:pPr>
            <w:r>
              <w:rPr>
                <w:rFonts w:ascii="Arial" w:hAnsi="Arial" w:eastAsia="Arial"/>
                <w:color w:val="262D32"/>
                <w:sz w:val="19"/>
              </w:rPr>
              <w:t>website/</w:t>
            </w:r>
          </w:p>
        </w:tc>
        <w:tc>
          <w:tcPr>
            <w:tcW w:type="dxa" w:w="1800"/>
            <w:vAlign w:val="center"/>
            <w:tcMar>
              <w:top w:w="80" w:type="dxa"/>
              <w:start w:w="110" w:type="dxa"/>
              <w:bottom w:w="80" w:type="dxa"/>
              <w:end w:w="110" w:type="dxa"/>
            </w:tcMar>
          </w:tcPr>
          <w:p>
            <w:pPr>
              <w:jc w:val="left"/>
            </w:pPr>
            <w:r>
              <w:rPr>
                <w:rFonts w:ascii="Arial" w:hAnsi="Arial" w:eastAsia="Arial"/>
                <w:color w:val="262D32"/>
                <w:sz w:val="19"/>
              </w:rPr>
              <w:t>Codex</w:t>
            </w:r>
          </w:p>
        </w:tc>
        <w:tc>
          <w:tcPr>
            <w:tcW w:type="dxa" w:w="4032"/>
            <w:vAlign w:val="center"/>
            <w:tcMar>
              <w:top w:w="80" w:type="dxa"/>
              <w:start w:w="110" w:type="dxa"/>
              <w:bottom w:w="80" w:type="dxa"/>
              <w:end w:w="110" w:type="dxa"/>
            </w:tcMar>
          </w:tcPr>
          <w:p>
            <w:pPr>
              <w:jc w:val="left"/>
            </w:pPr>
            <w:r>
              <w:rPr>
                <w:rFonts w:ascii="Arial" w:hAnsi="Arial" w:eastAsia="Arial"/>
                <w:color w:val="262D32"/>
                <w:sz w:val="19"/>
              </w:rPr>
              <w:t>Generated static website output reviewed by Chris before publish.</w:t>
            </w:r>
          </w:p>
        </w:tc>
      </w:tr>
    </w:tbl>
    <w:p/>
    <w:p>
      <w:pPr>
        <w:pStyle w:val="Heading1"/>
      </w:pPr>
      <w:r>
        <w:rPr>
          <w:rFonts w:ascii="Arial" w:hAnsi="Arial" w:eastAsia="Arial"/>
          <w:color w:val="1D6844"/>
        </w:rPr>
        <w:t>Team Pairing Capture</w:t>
      </w:r>
    </w:p>
    <w:p>
      <w:r>
        <w:rPr>
          <w:rFonts w:ascii="Arial" w:hAnsi="Arial" w:eastAsia="Arial"/>
          <w:sz w:val="21"/>
        </w:rPr>
        <w:t>Team pairings are captured during import from Squabbit team standings and written to data/team_pairings.csv. Once a date exists in that file, later imports preserve the existing rows so late player edits in Squabbit do not rewrite team history.</w:t>
      </w:r>
    </w:p>
    <w:tbl>
      <w:tblPr>
        <w:tblStyle w:val="TableGrid"/>
        <w:tblW w:type="auto" w:w="0"/>
        <w:jc w:val="center"/>
        <w:tblLayout w:type="fixed"/>
        <w:tblLook w:firstColumn="1" w:firstRow="1" w:lastColumn="0" w:lastRow="0" w:noHBand="0" w:noVBand="1" w:val="04A0"/>
        <w:tblBorders>
          <w:top w:val="single" w:sz="4" w:space="0" w:color="C9D4CC"/>
          <w:left w:val="single" w:sz="4" w:space="0" w:color="C9D4CC"/>
          <w:bottom w:val="single" w:sz="4" w:space="0" w:color="C9D4CC"/>
          <w:right w:val="single" w:sz="4" w:space="0" w:color="C9D4CC"/>
          <w:insideH w:val="single" w:sz="4" w:space="0" w:color="C9D4CC"/>
          <w:insideV w:val="single" w:sz="4" w:space="0" w:color="C9D4CC"/>
        </w:tblBorders>
      </w:tblPr>
      <w:tblGrid>
        <w:gridCol w:w="4896"/>
        <w:gridCol w:w="4896"/>
      </w:tblGrid>
      <w:tr>
        <w:tc>
          <w:tcPr>
            <w:tcW w:type="dxa" w:w="2952"/>
            <w:shd w:fill="DCEFE5"/>
            <w:vAlign w:val="center"/>
            <w:tcMar>
              <w:top w:w="80" w:type="dxa"/>
              <w:start w:w="110" w:type="dxa"/>
              <w:bottom w:w="80" w:type="dxa"/>
              <w:end w:w="110" w:type="dxa"/>
            </w:tcMar>
          </w:tcPr>
          <w:p>
            <w:pPr>
              <w:jc w:val="center"/>
            </w:pPr>
            <w:r>
              <w:rPr>
                <w:rFonts w:ascii="Arial" w:hAnsi="Arial" w:eastAsia="Arial"/>
                <w:b/>
                <w:color w:val="233027"/>
                <w:sz w:val="19"/>
              </w:rPr>
              <w:t>Column</w:t>
            </w:r>
          </w:p>
        </w:tc>
        <w:tc>
          <w:tcPr>
            <w:tcW w:type="dxa" w:w="6408"/>
            <w:shd w:fill="DCEFE5"/>
            <w:vAlign w:val="center"/>
            <w:tcMar>
              <w:top w:w="80" w:type="dxa"/>
              <w:start w:w="110" w:type="dxa"/>
              <w:bottom w:w="80" w:type="dxa"/>
              <w:end w:w="110" w:type="dxa"/>
            </w:tcMar>
          </w:tcPr>
          <w:p>
            <w:pPr>
              <w:jc w:val="center"/>
            </w:pPr>
            <w:r>
              <w:rPr>
                <w:rFonts w:ascii="Arial" w:hAnsi="Arial" w:eastAsia="Arial"/>
                <w:b/>
                <w:color w:val="233027"/>
                <w:sz w:val="19"/>
              </w:rPr>
              <w:t>Meaning</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Date / Season</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Tournament date and SG@SG season year. November and December roll into the following season.</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Format</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Best Ball, Team Quota, or Best Ball/Stableford as inferred from the export.</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Team_Key / Team_Label</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Stable imported team identifier plus Squabbit display label.</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Team_Rank / Team_Score</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Team result from Squabbit standings.</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Team_Payout_Total</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Calculated team-game payout pool share for that team.</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Player_1 through Player_4</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Normalized player names on the team.</w:t>
            </w:r>
          </w:p>
        </w:tc>
      </w:tr>
      <w:tr>
        <w:tc>
          <w:tcPr>
            <w:tcW w:type="dxa" w:w="2952"/>
            <w:vAlign w:val="center"/>
            <w:tcMar>
              <w:top w:w="80" w:type="dxa"/>
              <w:start w:w="110" w:type="dxa"/>
              <w:bottom w:w="80" w:type="dxa"/>
              <w:end w:w="110" w:type="dxa"/>
            </w:tcMar>
          </w:tcPr>
          <w:p>
            <w:pPr>
              <w:jc w:val="left"/>
            </w:pPr>
            <w:r>
              <w:rPr>
                <w:rFonts w:ascii="Arial" w:hAnsi="Arial" w:eastAsia="Arial"/>
                <w:color w:val="262D32"/>
                <w:sz w:val="19"/>
              </w:rPr>
              <w:t>Source_File</w:t>
            </w:r>
          </w:p>
        </w:tc>
        <w:tc>
          <w:tcPr>
            <w:tcW w:type="dxa" w:w="6408"/>
            <w:vAlign w:val="center"/>
            <w:tcMar>
              <w:top w:w="80" w:type="dxa"/>
              <w:start w:w="110" w:type="dxa"/>
              <w:bottom w:w="80" w:type="dxa"/>
              <w:end w:w="110" w:type="dxa"/>
            </w:tcMar>
          </w:tcPr>
          <w:p>
            <w:pPr>
              <w:jc w:val="left"/>
            </w:pPr>
            <w:r>
              <w:rPr>
                <w:rFonts w:ascii="Arial" w:hAnsi="Arial" w:eastAsia="Arial"/>
                <w:color w:val="262D32"/>
                <w:sz w:val="19"/>
              </w:rPr>
              <w:t>Original Squabbit CSV filename.</w:t>
            </w:r>
          </w:p>
        </w:tc>
      </w:tr>
    </w:tbl>
    <w:p/>
    <w:p>
      <w:pPr>
        <w:pStyle w:val="Heading1"/>
      </w:pPr>
      <w:r>
        <w:rPr>
          <w:rFonts w:ascii="Arial" w:hAnsi="Arial" w:eastAsia="Arial"/>
          <w:color w:val="1D6844"/>
        </w:rPr>
        <w:t>Stop Conditions</w:t>
      </w:r>
    </w:p>
    <w:p>
      <w:pPr>
        <w:pStyle w:val="ListBullet"/>
        <w:spacing w:after="100"/>
      </w:pPr>
      <w:r>
        <w:rPr>
          <w:rFonts w:ascii="Arial" w:hAnsi="Arial" w:eastAsia="Arial"/>
          <w:sz w:val="21"/>
        </w:rPr>
        <w:t>Do not ingest if the reconciliation report has unresolved identity conflicts.</w:t>
      </w:r>
    </w:p>
    <w:p>
      <w:pPr>
        <w:pStyle w:val="ListBullet"/>
        <w:spacing w:after="100"/>
      </w:pPr>
      <w:r>
        <w:rPr>
          <w:rFonts w:ascii="Arial" w:hAnsi="Arial" w:eastAsia="Arial"/>
          <w:sz w:val="21"/>
        </w:rPr>
        <w:t>Do not ingest if a new scored player has no handicap snapshot.</w:t>
      </w:r>
    </w:p>
    <w:p>
      <w:pPr>
        <w:pStyle w:val="ListBullet"/>
        <w:spacing w:after="100"/>
      </w:pPr>
      <w:r>
        <w:rPr>
          <w:rFonts w:ascii="Arial" w:hAnsi="Arial" w:eastAsia="Arial"/>
          <w:sz w:val="21"/>
        </w:rPr>
        <w:t>Do not ingest if gross score does not equal H1-H18 for a new tournament.</w:t>
      </w:r>
    </w:p>
    <w:p>
      <w:pPr>
        <w:pStyle w:val="ListBullet"/>
        <w:spacing w:after="100"/>
      </w:pPr>
      <w:r>
        <w:rPr>
          <w:rFonts w:ascii="Arial" w:hAnsi="Arial" w:eastAsia="Arial"/>
          <w:sz w:val="21"/>
        </w:rPr>
        <w:t>Do not publish if unrelated files are dirty.</w:t>
      </w:r>
    </w:p>
    <w:p>
      <w:pPr>
        <w:pStyle w:val="ListBullet"/>
        <w:spacing w:after="100"/>
      </w:pPr>
      <w:r>
        <w:rPr>
          <w:rFonts w:ascii="Arial" w:hAnsi="Arial" w:eastAsia="Arial"/>
          <w:sz w:val="21"/>
        </w:rPr>
        <w:t>Do not publish until Chris has reviewed the local website output and explicitly approved.</w:t>
      </w:r>
    </w:p>
    <w:p>
      <w:pPr>
        <w:pStyle w:val="Heading1"/>
      </w:pPr>
      <w:r>
        <w:rPr>
          <w:rFonts w:ascii="Arial" w:hAnsi="Arial" w:eastAsia="Arial"/>
          <w:color w:val="1D6844"/>
        </w:rPr>
        <w:t>Final Monthly Checklist</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Chris: </w:t>
      </w:r>
      <w:r>
        <w:rPr>
          <w:rFonts w:ascii="Arial" w:hAnsi="Arial" w:eastAsia="Arial"/>
          <w:color w:val="262D32"/>
          <w:sz w:val="18"/>
        </w:rPr>
        <w:t>Tournament results are final in Squabbit.</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Chris: </w:t>
      </w:r>
      <w:r>
        <w:rPr>
          <w:rFonts w:ascii="Arial" w:hAnsi="Arial" w:eastAsia="Arial"/>
          <w:color w:val="262D32"/>
          <w:sz w:val="18"/>
        </w:rPr>
        <w:t>CSV export is downloaded and left in Downloads.</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Chris: </w:t>
      </w:r>
      <w:r>
        <w:rPr>
          <w:rFonts w:ascii="Arial" w:hAnsi="Arial" w:eastAsia="Arial"/>
          <w:color w:val="262D32"/>
          <w:sz w:val="18"/>
        </w:rPr>
        <w:t>Codex is asked to process the tournament and archive the CSV.</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Codex: </w:t>
      </w:r>
      <w:r>
        <w:rPr>
          <w:rFonts w:ascii="Arial" w:hAnsi="Arial" w:eastAsia="Arial"/>
          <w:color w:val="262D32"/>
          <w:sz w:val="18"/>
        </w:rPr>
        <w:t>Import completed and raw CSV archived under input/raw_exports/.</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Codex: </w:t>
      </w:r>
      <w:r>
        <w:rPr>
          <w:rFonts w:ascii="Arial" w:hAnsi="Arial" w:eastAsia="Arial"/>
          <w:color w:val="262D32"/>
          <w:sz w:val="18"/>
        </w:rPr>
        <w:t>Reconciliation report reviewed and blockers resolved.</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Codex: </w:t>
      </w:r>
      <w:r>
        <w:rPr>
          <w:rFonts w:ascii="Arial" w:hAnsi="Arial" w:eastAsia="Arial"/>
          <w:color w:val="262D32"/>
          <w:sz w:val="18"/>
        </w:rPr>
        <w:t>Dry run passed.</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Codex: </w:t>
      </w:r>
      <w:r>
        <w:rPr>
          <w:rFonts w:ascii="Arial" w:hAnsi="Arial" w:eastAsia="Arial"/>
          <w:color w:val="262D32"/>
          <w:sz w:val="18"/>
        </w:rPr>
        <w:t>Canonical files and team_pairings.csv updated.</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Codex: </w:t>
      </w:r>
      <w:r>
        <w:rPr>
          <w:rFonts w:ascii="Arial" w:hAnsi="Arial" w:eastAsia="Arial"/>
          <w:color w:val="262D32"/>
          <w:sz w:val="18"/>
        </w:rPr>
        <w:t>Website rebuilt locally.</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Chris: </w:t>
      </w:r>
      <w:r>
        <w:rPr>
          <w:rFonts w:ascii="Arial" w:hAnsi="Arial" w:eastAsia="Arial"/>
          <w:color w:val="262D32"/>
          <w:sz w:val="18"/>
        </w:rPr>
        <w:t>DataAudit, result page, index, money list, and dashboards reviewed.</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Chris: </w:t>
      </w:r>
      <w:r>
        <w:rPr>
          <w:rFonts w:ascii="Arial" w:hAnsi="Arial" w:eastAsia="Arial"/>
          <w:color w:val="262D32"/>
          <w:sz w:val="18"/>
        </w:rPr>
        <w:t>Publish approved.</w:t>
      </w:r>
    </w:p>
    <w:p>
      <w:pPr>
        <w:spacing w:after="40"/>
        <w:ind w:left="144"/>
      </w:pPr>
      <w:r>
        <w:rPr>
          <w:rFonts w:ascii="Courier New" w:hAnsi="Courier New" w:eastAsia="Courier New"/>
          <w:color w:val="262D32"/>
          <w:sz w:val="18"/>
        </w:rPr>
        <w:t xml:space="preserve">[ ] </w:t>
      </w:r>
      <w:r>
        <w:rPr>
          <w:rFonts w:ascii="Arial" w:hAnsi="Arial" w:eastAsia="Arial"/>
          <w:b/>
          <w:color w:val="1D6844"/>
          <w:sz w:val="18"/>
        </w:rPr>
        <w:t xml:space="preserve">Codex: </w:t>
      </w:r>
      <w:r>
        <w:rPr>
          <w:rFonts w:ascii="Arial" w:hAnsi="Arial" w:eastAsia="Arial"/>
          <w:color w:val="262D32"/>
          <w:sz w:val="18"/>
        </w:rPr>
        <w:t>Site published with data/ and website/ only.</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D6876"/>
        <w:sz w:val="17"/>
      </w:rPr>
      <w:t>Sterling Grove Golf and Country Club - Monthly tournament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olor w:val="5D6876"/>
        <w:sz w:val="18"/>
      </w:rPr>
      <w:t>SG@SG Tournament Data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