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Content>
        <w:p w14:paraId="4DE3B08D" w14:textId="16C654C9"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4AF0098C" wp14:editId="75AB20E3">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6E69BA">
            <w:t>Literature Review</w:t>
          </w:r>
        </w:p>
        <w:p w14:paraId="32F9007E" w14:textId="18126A16" w:rsidR="001D3D92" w:rsidRPr="00362C0D" w:rsidRDefault="006E69BA" w:rsidP="00D70AA0">
          <w:pPr>
            <w:pStyle w:val="Subtitle"/>
            <w:ind w:right="1705"/>
            <w:rPr>
              <w:sz w:val="36"/>
              <w:szCs w:val="36"/>
            </w:rPr>
          </w:pPr>
          <w:r w:rsidRPr="00362C0D">
            <w:rPr>
              <w:sz w:val="36"/>
              <w:szCs w:val="36"/>
            </w:rPr>
            <w:t>Course: CIND820</w:t>
          </w:r>
        </w:p>
        <w:p w14:paraId="2475413C" w14:textId="77777777" w:rsidR="006E69BA" w:rsidRPr="00362C0D" w:rsidRDefault="006E69BA" w:rsidP="006E69BA">
          <w:pPr>
            <w:pStyle w:val="Subtitle"/>
            <w:ind w:right="1705"/>
            <w:rPr>
              <w:sz w:val="36"/>
              <w:szCs w:val="36"/>
            </w:rPr>
          </w:pPr>
          <w:r w:rsidRPr="00362C0D">
            <w:rPr>
              <w:sz w:val="36"/>
              <w:szCs w:val="36"/>
            </w:rPr>
            <w:t>Student: Colin White</w:t>
          </w:r>
        </w:p>
        <w:p w14:paraId="41546401" w14:textId="63E43B2E" w:rsidR="006E69BA" w:rsidRPr="00362C0D" w:rsidRDefault="006E69BA" w:rsidP="006E69BA">
          <w:pPr>
            <w:pStyle w:val="Subtitle"/>
            <w:ind w:right="1705"/>
            <w:rPr>
              <w:sz w:val="36"/>
              <w:szCs w:val="36"/>
            </w:rPr>
          </w:pPr>
          <w:r w:rsidRPr="00362C0D">
            <w:rPr>
              <w:sz w:val="36"/>
              <w:szCs w:val="36"/>
            </w:rPr>
            <w:t>Student ID: 009011412</w:t>
          </w:r>
        </w:p>
        <w:p w14:paraId="5D8D3F98" w14:textId="77777777" w:rsidR="006E69BA" w:rsidRPr="00362C0D" w:rsidRDefault="006E69BA" w:rsidP="006E69BA">
          <w:pPr>
            <w:pStyle w:val="Subtitle"/>
            <w:ind w:right="1705"/>
            <w:rPr>
              <w:sz w:val="36"/>
              <w:szCs w:val="36"/>
            </w:rPr>
          </w:pPr>
          <w:r w:rsidRPr="00362C0D">
            <w:rPr>
              <w:sz w:val="36"/>
              <w:szCs w:val="36"/>
            </w:rPr>
            <w:t xml:space="preserve">Supervisor: </w:t>
          </w:r>
          <w:proofErr w:type="spellStart"/>
          <w:r w:rsidRPr="00362C0D">
            <w:rPr>
              <w:sz w:val="36"/>
              <w:szCs w:val="36"/>
            </w:rPr>
            <w:t>Ceni</w:t>
          </w:r>
          <w:proofErr w:type="spellEnd"/>
          <w:r w:rsidRPr="00362C0D">
            <w:rPr>
              <w:sz w:val="36"/>
              <w:szCs w:val="36"/>
            </w:rPr>
            <w:t xml:space="preserve"> </w:t>
          </w:r>
          <w:proofErr w:type="spellStart"/>
          <w:r w:rsidRPr="00362C0D">
            <w:rPr>
              <w:sz w:val="36"/>
              <w:szCs w:val="36"/>
            </w:rPr>
            <w:t>Babaoglu</w:t>
          </w:r>
          <w:proofErr w:type="spellEnd"/>
        </w:p>
        <w:p w14:paraId="3B6ECB2D" w14:textId="4E028876" w:rsidR="006E69BA" w:rsidRPr="00362C0D" w:rsidRDefault="006E69BA" w:rsidP="006E69BA">
          <w:pPr>
            <w:pStyle w:val="Subtitle"/>
            <w:ind w:right="1705"/>
            <w:rPr>
              <w:sz w:val="36"/>
              <w:szCs w:val="36"/>
            </w:rPr>
          </w:pPr>
          <w:r w:rsidRPr="00362C0D">
            <w:rPr>
              <w:sz w:val="36"/>
              <w:szCs w:val="36"/>
            </w:rPr>
            <w:t xml:space="preserve">Submitted: October </w:t>
          </w:r>
          <w:r w:rsidR="00362C0D" w:rsidRPr="00362C0D">
            <w:rPr>
              <w:sz w:val="36"/>
              <w:szCs w:val="36"/>
            </w:rPr>
            <w:t>20</w:t>
          </w:r>
          <w:r w:rsidRPr="00362C0D">
            <w:rPr>
              <w:sz w:val="36"/>
              <w:szCs w:val="36"/>
            </w:rPr>
            <w:t>, 2023</w:t>
          </w:r>
        </w:p>
        <w:p w14:paraId="66937257" w14:textId="77777777" w:rsidR="006E69BA" w:rsidRPr="006E69BA" w:rsidRDefault="006E69BA" w:rsidP="006E69BA"/>
        <w:p w14:paraId="1594B180"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046A392C" w14:textId="77777777" w:rsidR="00D065B3" w:rsidRPr="007D430C" w:rsidRDefault="00D065B3" w:rsidP="00EF409F">
      <w:pPr>
        <w:pStyle w:val="TOCHeading"/>
      </w:pPr>
      <w:r>
        <w:lastRenderedPageBreak/>
        <w:t>Table of Contents</w:t>
      </w:r>
    </w:p>
    <w:p w14:paraId="7A1FECE7" w14:textId="78D45977" w:rsidR="004D3B0F" w:rsidRDefault="008A650B">
      <w:pPr>
        <w:pStyle w:val="TOC1"/>
        <w:rPr>
          <w:rFonts w:asciiTheme="minorHAnsi" w:eastAsiaTheme="minorEastAsia" w:hAnsiTheme="minorHAnsi" w:cstheme="minorBidi"/>
          <w:b w:val="0"/>
          <w:noProof/>
          <w:color w:val="auto"/>
          <w:sz w:val="22"/>
          <w:szCs w:val="22"/>
          <w:lang w:eastAsia="en-CA"/>
        </w:rPr>
      </w:pPr>
      <w:r>
        <w:rPr>
          <w:bCs/>
        </w:rPr>
        <w:t xml:space="preserve">1. </w:t>
      </w:r>
      <w:r w:rsidR="00A11CB1">
        <w:rPr>
          <w:bCs/>
        </w:rPr>
        <w:fldChar w:fldCharType="begin"/>
      </w:r>
      <w:r w:rsidR="009B7998">
        <w:rPr>
          <w:bCs/>
        </w:rPr>
        <w:instrText xml:space="preserve"> TOC \o "1-3" \h \z \u </w:instrText>
      </w:r>
      <w:r w:rsidR="00A11CB1">
        <w:rPr>
          <w:bCs/>
        </w:rPr>
        <w:fldChar w:fldCharType="separate"/>
      </w:r>
      <w:hyperlink w:anchor="_Toc452457337" w:history="1">
        <w:r w:rsidR="007A5392">
          <w:rPr>
            <w:rStyle w:val="Hyperlink"/>
            <w:noProof/>
          </w:rPr>
          <w:t>Defining Research Questions</w:t>
        </w:r>
        <w:r w:rsidR="004D3B0F">
          <w:rPr>
            <w:noProof/>
            <w:webHidden/>
          </w:rPr>
          <w:tab/>
        </w:r>
        <w:r w:rsidR="00A11CB1">
          <w:rPr>
            <w:noProof/>
            <w:webHidden/>
          </w:rPr>
          <w:fldChar w:fldCharType="begin"/>
        </w:r>
        <w:r w:rsidR="004D3B0F">
          <w:rPr>
            <w:noProof/>
            <w:webHidden/>
          </w:rPr>
          <w:instrText xml:space="preserve"> PAGEREF _Toc452457337 \h </w:instrText>
        </w:r>
        <w:r w:rsidR="00A11CB1">
          <w:rPr>
            <w:noProof/>
            <w:webHidden/>
          </w:rPr>
        </w:r>
        <w:r w:rsidR="00A11CB1">
          <w:rPr>
            <w:noProof/>
            <w:webHidden/>
          </w:rPr>
          <w:fldChar w:fldCharType="separate"/>
        </w:r>
        <w:r w:rsidR="00BA448F">
          <w:rPr>
            <w:noProof/>
            <w:webHidden/>
          </w:rPr>
          <w:t>3</w:t>
        </w:r>
        <w:r w:rsidR="00A11CB1">
          <w:rPr>
            <w:noProof/>
            <w:webHidden/>
          </w:rPr>
          <w:fldChar w:fldCharType="end"/>
        </w:r>
      </w:hyperlink>
    </w:p>
    <w:p w14:paraId="35D0424B" w14:textId="3A99710D" w:rsidR="004D3B0F" w:rsidRDefault="00000000">
      <w:pPr>
        <w:pStyle w:val="TOC2"/>
        <w:tabs>
          <w:tab w:val="right" w:leader="dot" w:pos="9350"/>
        </w:tabs>
        <w:rPr>
          <w:noProof/>
        </w:rPr>
      </w:pPr>
      <w:hyperlink w:anchor="_Toc452457338" w:history="1">
        <w:r w:rsidR="007A5392">
          <w:rPr>
            <w:rStyle w:val="Hyperlink"/>
            <w:bCs/>
            <w:noProof/>
          </w:rPr>
          <w:t>What do you already know about the topic</w:t>
        </w:r>
        <w:r w:rsidR="004D3B0F">
          <w:rPr>
            <w:noProof/>
            <w:webHidden/>
          </w:rPr>
          <w:tab/>
        </w:r>
        <w:r w:rsidR="00A11CB1">
          <w:rPr>
            <w:noProof/>
            <w:webHidden/>
          </w:rPr>
          <w:fldChar w:fldCharType="begin"/>
        </w:r>
        <w:r w:rsidR="004D3B0F">
          <w:rPr>
            <w:noProof/>
            <w:webHidden/>
          </w:rPr>
          <w:instrText xml:space="preserve"> PAGEREF _Toc452457338 \h </w:instrText>
        </w:r>
        <w:r w:rsidR="00A11CB1">
          <w:rPr>
            <w:noProof/>
            <w:webHidden/>
          </w:rPr>
        </w:r>
        <w:r w:rsidR="00A11CB1">
          <w:rPr>
            <w:noProof/>
            <w:webHidden/>
          </w:rPr>
          <w:fldChar w:fldCharType="separate"/>
        </w:r>
        <w:r w:rsidR="00BA448F">
          <w:rPr>
            <w:noProof/>
            <w:webHidden/>
          </w:rPr>
          <w:t>3</w:t>
        </w:r>
        <w:r w:rsidR="00A11CB1">
          <w:rPr>
            <w:noProof/>
            <w:webHidden/>
          </w:rPr>
          <w:fldChar w:fldCharType="end"/>
        </w:r>
      </w:hyperlink>
    </w:p>
    <w:p w14:paraId="7E29778E" w14:textId="1CA702A3" w:rsidR="007A5392" w:rsidRDefault="00000000" w:rsidP="007A5392">
      <w:pPr>
        <w:pStyle w:val="TOC2"/>
        <w:tabs>
          <w:tab w:val="right" w:leader="dot" w:pos="9350"/>
        </w:tabs>
        <w:rPr>
          <w:noProof/>
        </w:rPr>
      </w:pPr>
      <w:hyperlink w:anchor="_Toc452457338" w:history="1">
        <w:r w:rsidR="008A650B">
          <w:rPr>
            <w:rStyle w:val="Hyperlink"/>
            <w:bCs/>
            <w:noProof/>
          </w:rPr>
          <w:t>What do you have to say critically about the topic</w:t>
        </w:r>
        <w:r w:rsidR="007A5392">
          <w:rPr>
            <w:noProof/>
            <w:webHidden/>
          </w:rPr>
          <w:tab/>
        </w:r>
        <w:r w:rsidR="00B94E61">
          <w:rPr>
            <w:noProof/>
            <w:webHidden/>
          </w:rPr>
          <w:t>4</w:t>
        </w:r>
      </w:hyperlink>
    </w:p>
    <w:p w14:paraId="1F3CC153" w14:textId="77777777" w:rsidR="007A5392" w:rsidRPr="007A5392" w:rsidRDefault="007A5392" w:rsidP="007A5392"/>
    <w:p w14:paraId="3A79082F" w14:textId="47430457" w:rsidR="007A5392" w:rsidRDefault="008A650B" w:rsidP="007A5392">
      <w:pPr>
        <w:pStyle w:val="TOC1"/>
        <w:rPr>
          <w:rFonts w:asciiTheme="minorHAnsi" w:eastAsiaTheme="minorEastAsia" w:hAnsiTheme="minorHAnsi" w:cstheme="minorBidi"/>
          <w:b w:val="0"/>
          <w:noProof/>
          <w:color w:val="auto"/>
          <w:sz w:val="22"/>
          <w:szCs w:val="22"/>
          <w:lang w:eastAsia="en-CA"/>
        </w:rPr>
      </w:pPr>
      <w:r>
        <w:rPr>
          <w:bCs/>
        </w:rPr>
        <w:t xml:space="preserve">2. </w:t>
      </w:r>
      <w:r w:rsidR="007A5392">
        <w:rPr>
          <w:bCs/>
        </w:rPr>
        <w:fldChar w:fldCharType="begin"/>
      </w:r>
      <w:r w:rsidR="007A5392">
        <w:rPr>
          <w:bCs/>
        </w:rPr>
        <w:instrText xml:space="preserve"> TOC \o "1-3" \h \z \u </w:instrText>
      </w:r>
      <w:r w:rsidR="007A5392">
        <w:rPr>
          <w:bCs/>
        </w:rPr>
        <w:fldChar w:fldCharType="separate"/>
      </w:r>
      <w:hyperlink w:anchor="_Toc452457337" w:history="1">
        <w:r>
          <w:rPr>
            <w:rStyle w:val="Hyperlink"/>
            <w:noProof/>
          </w:rPr>
          <w:t>Introducing the approach</w:t>
        </w:r>
        <w:r w:rsidR="007A5392">
          <w:rPr>
            <w:noProof/>
            <w:webHidden/>
          </w:rPr>
          <w:tab/>
        </w:r>
        <w:r w:rsidR="00B94E61">
          <w:rPr>
            <w:noProof/>
            <w:webHidden/>
          </w:rPr>
          <w:t>4</w:t>
        </w:r>
      </w:hyperlink>
    </w:p>
    <w:p w14:paraId="503BD4EE" w14:textId="6D619A13" w:rsidR="007A5392" w:rsidRDefault="00000000" w:rsidP="007A5392">
      <w:pPr>
        <w:pStyle w:val="TOC2"/>
        <w:tabs>
          <w:tab w:val="right" w:leader="dot" w:pos="9350"/>
        </w:tabs>
        <w:rPr>
          <w:noProof/>
        </w:rPr>
      </w:pPr>
      <w:hyperlink w:anchor="_Toc452457338" w:history="1">
        <w:r w:rsidR="007A5392" w:rsidRPr="005C686F">
          <w:rPr>
            <w:rStyle w:val="Hyperlink"/>
            <w:bCs/>
            <w:noProof/>
          </w:rPr>
          <w:t>H</w:t>
        </w:r>
        <w:r w:rsidR="008A650B">
          <w:rPr>
            <w:rStyle w:val="Hyperlink"/>
            <w:bCs/>
            <w:noProof/>
          </w:rPr>
          <w:t>as anyone ever done research exactly the same</w:t>
        </w:r>
        <w:r w:rsidR="007A5392">
          <w:rPr>
            <w:noProof/>
            <w:webHidden/>
          </w:rPr>
          <w:tab/>
        </w:r>
        <w:r w:rsidR="00F1250A">
          <w:rPr>
            <w:noProof/>
            <w:webHidden/>
          </w:rPr>
          <w:t>6</w:t>
        </w:r>
      </w:hyperlink>
    </w:p>
    <w:p w14:paraId="1C7FEF4B" w14:textId="77777777" w:rsidR="007A5392" w:rsidRPr="007A5392" w:rsidRDefault="007A5392" w:rsidP="007A5392"/>
    <w:p w14:paraId="123858BA" w14:textId="403B5483" w:rsidR="007A5392" w:rsidRDefault="008A650B" w:rsidP="007A5392">
      <w:pPr>
        <w:pStyle w:val="TOC1"/>
        <w:rPr>
          <w:rFonts w:asciiTheme="minorHAnsi" w:eastAsiaTheme="minorEastAsia" w:hAnsiTheme="minorHAnsi" w:cstheme="minorBidi"/>
          <w:b w:val="0"/>
          <w:noProof/>
          <w:color w:val="auto"/>
          <w:sz w:val="22"/>
          <w:szCs w:val="22"/>
          <w:lang w:eastAsia="en-CA"/>
        </w:rPr>
      </w:pPr>
      <w:r>
        <w:rPr>
          <w:bCs/>
        </w:rPr>
        <w:t xml:space="preserve">3. </w:t>
      </w:r>
      <w:r w:rsidR="007A5392">
        <w:rPr>
          <w:bCs/>
        </w:rPr>
        <w:fldChar w:fldCharType="begin"/>
      </w:r>
      <w:r w:rsidR="007A5392">
        <w:rPr>
          <w:bCs/>
        </w:rPr>
        <w:instrText xml:space="preserve"> TOC \o "1-3" \h \z \u </w:instrText>
      </w:r>
      <w:r w:rsidR="007A5392">
        <w:rPr>
          <w:bCs/>
        </w:rPr>
        <w:fldChar w:fldCharType="separate"/>
      </w:r>
      <w:hyperlink w:anchor="_Toc452457337" w:history="1">
        <w:r>
          <w:rPr>
            <w:rStyle w:val="Hyperlink"/>
            <w:noProof/>
          </w:rPr>
          <w:t>Searching the literature</w:t>
        </w:r>
        <w:r w:rsidR="007A5392">
          <w:rPr>
            <w:noProof/>
            <w:webHidden/>
          </w:rPr>
          <w:tab/>
        </w:r>
        <w:r w:rsidR="00B94E61">
          <w:rPr>
            <w:noProof/>
            <w:webHidden/>
          </w:rPr>
          <w:t>6</w:t>
        </w:r>
      </w:hyperlink>
    </w:p>
    <w:p w14:paraId="283FFC38" w14:textId="77777777" w:rsidR="007A5392" w:rsidRDefault="007A5392" w:rsidP="007A5392"/>
    <w:p w14:paraId="140B66C3" w14:textId="207F1B01" w:rsidR="008A650B" w:rsidRDefault="008A650B" w:rsidP="008A650B">
      <w:pPr>
        <w:pStyle w:val="TOC1"/>
        <w:rPr>
          <w:rFonts w:asciiTheme="minorHAnsi" w:eastAsiaTheme="minorEastAsia" w:hAnsiTheme="minorHAnsi" w:cstheme="minorBidi"/>
          <w:b w:val="0"/>
          <w:noProof/>
          <w:color w:val="auto"/>
          <w:sz w:val="22"/>
          <w:szCs w:val="22"/>
          <w:lang w:eastAsia="en-CA"/>
        </w:rPr>
      </w:pPr>
      <w:r>
        <w:rPr>
          <w:bCs/>
        </w:rPr>
        <w:t xml:space="preserve">4. </w:t>
      </w:r>
      <w:r>
        <w:rPr>
          <w:bCs/>
        </w:rPr>
        <w:fldChar w:fldCharType="begin"/>
      </w:r>
      <w:r>
        <w:rPr>
          <w:bCs/>
        </w:rPr>
        <w:instrText xml:space="preserve"> TOC \o "1-3" \h \z \u </w:instrText>
      </w:r>
      <w:r>
        <w:rPr>
          <w:bCs/>
        </w:rPr>
        <w:fldChar w:fldCharType="separate"/>
      </w:r>
      <w:hyperlink w:anchor="_Toc452457337" w:history="1">
        <w:r>
          <w:rPr>
            <w:rStyle w:val="Hyperlink"/>
            <w:noProof/>
          </w:rPr>
          <w:t>Analyzing materials</w:t>
        </w:r>
        <w:r>
          <w:rPr>
            <w:noProof/>
            <w:webHidden/>
          </w:rPr>
          <w:tab/>
        </w:r>
        <w:r w:rsidR="00F1250A">
          <w:rPr>
            <w:noProof/>
            <w:webHidden/>
          </w:rPr>
          <w:t>8</w:t>
        </w:r>
      </w:hyperlink>
    </w:p>
    <w:p w14:paraId="14720F00" w14:textId="77777777" w:rsidR="008A650B" w:rsidRDefault="008A650B" w:rsidP="008A650B"/>
    <w:p w14:paraId="07D19E13" w14:textId="163C24F4" w:rsidR="008A650B" w:rsidRDefault="008A650B" w:rsidP="008A650B">
      <w:pPr>
        <w:pStyle w:val="TOC1"/>
        <w:rPr>
          <w:rFonts w:asciiTheme="minorHAnsi" w:eastAsiaTheme="minorEastAsia" w:hAnsiTheme="minorHAnsi" w:cstheme="minorBidi"/>
          <w:b w:val="0"/>
          <w:noProof/>
          <w:color w:val="auto"/>
          <w:sz w:val="22"/>
          <w:szCs w:val="22"/>
          <w:lang w:eastAsia="en-CA"/>
        </w:rPr>
      </w:pPr>
      <w:r>
        <w:rPr>
          <w:bCs/>
        </w:rPr>
        <w:fldChar w:fldCharType="begin"/>
      </w:r>
      <w:r>
        <w:rPr>
          <w:bCs/>
        </w:rPr>
        <w:instrText xml:space="preserve"> TOC \o "1-3" \h \z \u </w:instrText>
      </w:r>
      <w:r>
        <w:rPr>
          <w:bCs/>
        </w:rPr>
        <w:fldChar w:fldCharType="separate"/>
      </w:r>
      <w:hyperlink w:anchor="_Toc452457337" w:history="1">
        <w:r>
          <w:rPr>
            <w:rStyle w:val="Hyperlink"/>
            <w:noProof/>
          </w:rPr>
          <w:t>5. Managing results</w:t>
        </w:r>
        <w:r>
          <w:rPr>
            <w:noProof/>
            <w:webHidden/>
          </w:rPr>
          <w:tab/>
        </w:r>
        <w:r w:rsidR="00074B47">
          <w:rPr>
            <w:noProof/>
            <w:webHidden/>
          </w:rPr>
          <w:t>1</w:t>
        </w:r>
        <w:r>
          <w:rPr>
            <w:noProof/>
            <w:webHidden/>
          </w:rPr>
          <w:fldChar w:fldCharType="begin"/>
        </w:r>
        <w:r>
          <w:rPr>
            <w:noProof/>
            <w:webHidden/>
          </w:rPr>
          <w:instrText xml:space="preserve"> PAGEREF _Toc452457337 \h </w:instrText>
        </w:r>
        <w:r>
          <w:rPr>
            <w:noProof/>
            <w:webHidden/>
          </w:rPr>
        </w:r>
        <w:r>
          <w:rPr>
            <w:noProof/>
            <w:webHidden/>
          </w:rPr>
          <w:fldChar w:fldCharType="separate"/>
        </w:r>
        <w:r>
          <w:rPr>
            <w:noProof/>
            <w:webHidden/>
          </w:rPr>
          <w:t>3</w:t>
        </w:r>
        <w:r>
          <w:rPr>
            <w:noProof/>
            <w:webHidden/>
          </w:rPr>
          <w:fldChar w:fldCharType="end"/>
        </w:r>
      </w:hyperlink>
    </w:p>
    <w:p w14:paraId="081A2A04" w14:textId="77777777" w:rsidR="008A650B" w:rsidRPr="006E69BA" w:rsidRDefault="008A650B" w:rsidP="008A650B"/>
    <w:p w14:paraId="6ECA814A" w14:textId="77777777" w:rsidR="008A650B" w:rsidRPr="006E69BA" w:rsidRDefault="008A650B" w:rsidP="008A650B"/>
    <w:p w14:paraId="76B62367" w14:textId="69CEE9AB" w:rsidR="008A650B" w:rsidRPr="006E69BA" w:rsidRDefault="008A650B" w:rsidP="008A650B">
      <w:r>
        <w:rPr>
          <w:rFonts w:eastAsiaTheme="majorEastAsia" w:cstheme="majorBidi"/>
          <w:b/>
          <w:bCs/>
          <w:color w:val="000000" w:themeColor="text1"/>
          <w:sz w:val="24"/>
          <w:szCs w:val="26"/>
        </w:rPr>
        <w:fldChar w:fldCharType="end"/>
      </w:r>
    </w:p>
    <w:p w14:paraId="44790D4B" w14:textId="77777777" w:rsidR="008A650B" w:rsidRPr="006E69BA" w:rsidRDefault="008A650B" w:rsidP="008A650B"/>
    <w:p w14:paraId="39BBC610" w14:textId="72FFDF38" w:rsidR="007A5392" w:rsidRPr="006E69BA" w:rsidRDefault="008A650B" w:rsidP="008A650B">
      <w:r>
        <w:rPr>
          <w:rFonts w:eastAsiaTheme="majorEastAsia" w:cstheme="majorBidi"/>
          <w:b/>
          <w:bCs/>
          <w:color w:val="000000" w:themeColor="text1"/>
          <w:sz w:val="24"/>
          <w:szCs w:val="26"/>
        </w:rPr>
        <w:fldChar w:fldCharType="end"/>
      </w:r>
    </w:p>
    <w:p w14:paraId="73AA25DB" w14:textId="77777777" w:rsidR="007A5392" w:rsidRPr="006E69BA" w:rsidRDefault="007A5392" w:rsidP="007A5392"/>
    <w:p w14:paraId="4E46EE7F" w14:textId="617B3ECA" w:rsidR="007A5392" w:rsidRPr="007A5392" w:rsidRDefault="007A5392" w:rsidP="007A5392">
      <w:r>
        <w:rPr>
          <w:rFonts w:eastAsiaTheme="majorEastAsia" w:cstheme="majorBidi"/>
          <w:b/>
          <w:bCs/>
          <w:color w:val="000000" w:themeColor="text1"/>
          <w:sz w:val="24"/>
          <w:szCs w:val="26"/>
        </w:rPr>
        <w:fldChar w:fldCharType="end"/>
      </w:r>
    </w:p>
    <w:p w14:paraId="361EEB46" w14:textId="686AE152" w:rsidR="006E69BA" w:rsidRDefault="007A5392" w:rsidP="007A5392">
      <w:r>
        <w:rPr>
          <w:rFonts w:eastAsiaTheme="majorEastAsia" w:cstheme="majorBidi"/>
          <w:b/>
          <w:bCs/>
          <w:color w:val="000000" w:themeColor="text1"/>
          <w:sz w:val="24"/>
          <w:szCs w:val="26"/>
        </w:rPr>
        <w:fldChar w:fldCharType="end"/>
      </w:r>
    </w:p>
    <w:p w14:paraId="669123DE" w14:textId="77777777" w:rsidR="00811FE5" w:rsidRDefault="00A11CB1" w:rsidP="006C2040">
      <w:pPr>
        <w:sectPr w:rsidR="00811FE5" w:rsidSect="000C6039">
          <w:headerReference w:type="even" r:id="rId9"/>
          <w:headerReference w:type="default" r:id="rId10"/>
          <w:footerReference w:type="even" r:id="rId11"/>
          <w:footerReference w:type="default" r:id="rId12"/>
          <w:headerReference w:type="first" r:id="rId13"/>
          <w:footerReference w:type="first" r:id="rId14"/>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6919E2D3" w14:textId="5C08EE34" w:rsidR="00297C4C" w:rsidRDefault="002D2DB9" w:rsidP="00595F22">
      <w:pPr>
        <w:pStyle w:val="Heading1"/>
      </w:pPr>
      <w:r>
        <w:lastRenderedPageBreak/>
        <w:t xml:space="preserve">1. </w:t>
      </w:r>
      <w:r w:rsidR="000E5643">
        <w:t>Defining research questions</w:t>
      </w:r>
    </w:p>
    <w:p w14:paraId="211F9710" w14:textId="6C9EABFE" w:rsidR="00FF768B" w:rsidRDefault="000C6039" w:rsidP="00FF768B">
      <w:bookmarkStart w:id="0" w:name="_Toc442773185"/>
      <w:r>
        <w:t>Th</w:t>
      </w:r>
      <w:r w:rsidR="00F45B0F">
        <w:t xml:space="preserve">e research conducted here falls into </w:t>
      </w:r>
      <w:r w:rsidR="00F45B0F" w:rsidRPr="002708A7">
        <w:t xml:space="preserve">a </w:t>
      </w:r>
      <w:r w:rsidR="002708A7">
        <w:t>literature</w:t>
      </w:r>
      <w:r w:rsidR="00B24823" w:rsidRPr="002708A7">
        <w:t xml:space="preserve"> known</w:t>
      </w:r>
      <w:r w:rsidR="00B24823">
        <w:t xml:space="preserve"> as “Growth-at-Risk” (G@R or </w:t>
      </w:r>
      <w:proofErr w:type="spellStart"/>
      <w:r w:rsidR="00B24823">
        <w:t>GaR</w:t>
      </w:r>
      <w:proofErr w:type="spellEnd"/>
      <w:r w:rsidR="00B24823">
        <w:t xml:space="preserve">).  </w:t>
      </w:r>
    </w:p>
    <w:p w14:paraId="1CAB15C5" w14:textId="3F26F629" w:rsidR="00B24823" w:rsidRDefault="00B24823" w:rsidP="00FF768B">
      <w:proofErr w:type="spellStart"/>
      <w:r>
        <w:t>GaR</w:t>
      </w:r>
      <w:proofErr w:type="spellEnd"/>
      <w:r>
        <w:t xml:space="preserve"> is part of growing and innovative literature that attempts </w:t>
      </w:r>
      <w:r w:rsidR="002708A7">
        <w:t xml:space="preserve">to predict the maximum </w:t>
      </w:r>
      <w:r w:rsidR="00F266BE">
        <w:t>loss of real GDP</w:t>
      </w:r>
      <w:r w:rsidR="002708A7">
        <w:t xml:space="preserve"> in the future, given a</w:t>
      </w:r>
      <w:r>
        <w:t xml:space="preserve"> severe stress</w:t>
      </w:r>
      <w:r w:rsidR="002708A7">
        <w:t xml:space="preserve"> event (or “shock”) today</w:t>
      </w:r>
      <w:r>
        <w:t>.</w:t>
      </w:r>
      <w:r w:rsidR="002708A7">
        <w:t xml:space="preserve"> M</w:t>
      </w:r>
      <w:r>
        <w:t>acroeconomic shocks are occurring more frequently and with greater intensity than even before.  A good illustration is the pandemic, where a public health crisis and the associated lockdowns</w:t>
      </w:r>
      <w:r w:rsidR="00B14595">
        <w:t>,</w:t>
      </w:r>
      <w:r>
        <w:t xml:space="preserve"> </w:t>
      </w:r>
      <w:r w:rsidR="002708A7">
        <w:t>imposed stress</w:t>
      </w:r>
      <w:r>
        <w:t xml:space="preserve"> on financial markets and </w:t>
      </w:r>
      <w:r w:rsidR="002708A7">
        <w:t>led</w:t>
      </w:r>
      <w:r>
        <w:t xml:space="preserve"> to a contraction in economic </w:t>
      </w:r>
      <w:r w:rsidR="00F266BE">
        <w:t>output</w:t>
      </w:r>
      <w:r>
        <w:t xml:space="preserve"> that affect</w:t>
      </w:r>
      <w:r w:rsidR="00F266BE">
        <w:t>ed</w:t>
      </w:r>
      <w:r>
        <w:t xml:space="preserve"> the welfare of all Canadians. </w:t>
      </w:r>
    </w:p>
    <w:p w14:paraId="0587E00E" w14:textId="0E180AA7" w:rsidR="00B24823" w:rsidRDefault="00B24823" w:rsidP="00FF768B">
      <w:r>
        <w:t xml:space="preserve">“Growth-at-Risk” </w:t>
      </w:r>
      <w:r w:rsidR="002708A7">
        <w:t>provides an answer to a simple question</w:t>
      </w:r>
      <w:r w:rsidR="00F266BE">
        <w:t>:</w:t>
      </w:r>
    </w:p>
    <w:p w14:paraId="0F7DABCE" w14:textId="2279D19C" w:rsidR="00F266BE" w:rsidRDefault="00B24823" w:rsidP="00B24823">
      <w:pPr>
        <w:pStyle w:val="ListParagraph"/>
        <w:numPr>
          <w:ilvl w:val="0"/>
          <w:numId w:val="12"/>
        </w:numPr>
      </w:pPr>
      <w:r>
        <w:t xml:space="preserve">Given a shock that </w:t>
      </w:r>
      <w:r w:rsidR="00F266BE">
        <w:t>is measurable on some forward-looking indicator variable</w:t>
      </w:r>
      <w:r w:rsidR="00B14595">
        <w:t xml:space="preserve"> today</w:t>
      </w:r>
      <w:r w:rsidR="00F266BE">
        <w:t xml:space="preserve">, can we predict </w:t>
      </w:r>
      <w:r w:rsidR="00B94E61">
        <w:t>the</w:t>
      </w:r>
      <w:r w:rsidR="00F266BE">
        <w:t xml:space="preserve"> loss of real GDP growth</w:t>
      </w:r>
      <w:r w:rsidR="00B94E61">
        <w:t xml:space="preserve"> at the 5</w:t>
      </w:r>
      <w:r w:rsidR="00B94E61" w:rsidRPr="00B94E61">
        <w:rPr>
          <w:vertAlign w:val="superscript"/>
        </w:rPr>
        <w:t>th</w:t>
      </w:r>
      <w:r w:rsidR="00B94E61">
        <w:t xml:space="preserve"> quantile of the growth distribution</w:t>
      </w:r>
      <w:r w:rsidR="00F266BE">
        <w:t xml:space="preserve"> in the next </w:t>
      </w:r>
      <w:r w:rsidR="008C22D3">
        <w:t>period</w:t>
      </w:r>
      <w:r w:rsidR="00F266BE">
        <w:t>?</w:t>
      </w:r>
    </w:p>
    <w:p w14:paraId="5F2DFE1D" w14:textId="0C75C453" w:rsidR="00B24823" w:rsidRPr="00F266BE" w:rsidRDefault="00F266BE" w:rsidP="00F266BE">
      <w:r>
        <w:t xml:space="preserve">For clarity: </w:t>
      </w:r>
      <w:r w:rsidR="002708A7">
        <w:t>the goal is</w:t>
      </w:r>
      <w:r>
        <w:t xml:space="preserve"> to predict a </w:t>
      </w:r>
      <w:r w:rsidRPr="00F266BE">
        <w:rPr>
          <w:u w:val="single"/>
        </w:rPr>
        <w:t>maximum</w:t>
      </w:r>
      <w:r>
        <w:rPr>
          <w:u w:val="single"/>
        </w:rPr>
        <w:t xml:space="preserve"> estimate</w:t>
      </w:r>
      <w:r>
        <w:t xml:space="preserve"> of </w:t>
      </w:r>
      <w:r w:rsidR="002E4709">
        <w:t xml:space="preserve">lost </w:t>
      </w:r>
      <w:proofErr w:type="gramStart"/>
      <w:r w:rsidR="002E4709">
        <w:t>output</w:t>
      </w:r>
      <w:proofErr w:type="gramEnd"/>
      <w:r>
        <w:t xml:space="preserve"> and this will be explained in greater detail below</w:t>
      </w:r>
      <w:r w:rsidR="002708A7">
        <w:t>.</w:t>
      </w:r>
    </w:p>
    <w:bookmarkEnd w:id="0"/>
    <w:p w14:paraId="2F8ED323" w14:textId="1DD6005E" w:rsidR="00FF768B" w:rsidRDefault="00F45B0F" w:rsidP="00FF768B">
      <w:pPr>
        <w:pStyle w:val="Heading2"/>
        <w:rPr>
          <w:bCs/>
        </w:rPr>
      </w:pPr>
      <w:r>
        <w:rPr>
          <w:bCs/>
        </w:rPr>
        <w:t>What do you already know about the topic?</w:t>
      </w:r>
    </w:p>
    <w:p w14:paraId="1546A46F" w14:textId="1CF95323" w:rsidR="00FF768B" w:rsidRDefault="00F266BE" w:rsidP="00FF768B">
      <w:r>
        <w:t>As stated in the Abstract submitted</w:t>
      </w:r>
      <w:r w:rsidR="00741A9D">
        <w:t xml:space="preserve"> as part of Module 1, CIND820</w:t>
      </w:r>
      <w:r>
        <w:t xml:space="preserve">, </w:t>
      </w:r>
      <w:r w:rsidR="00741A9D">
        <w:t xml:space="preserve">this project replicates the </w:t>
      </w:r>
      <w:proofErr w:type="spellStart"/>
      <w:r w:rsidR="00741A9D">
        <w:t>GaR</w:t>
      </w:r>
      <w:proofErr w:type="spellEnd"/>
      <w:r w:rsidR="00741A9D">
        <w:t xml:space="preserve"> framework developed by the International Monetary Fund (IMF). </w:t>
      </w:r>
    </w:p>
    <w:p w14:paraId="611AF834" w14:textId="77777777" w:rsidR="00B14595" w:rsidRDefault="000B2F1E" w:rsidP="00FF768B">
      <w:r>
        <w:t>Growth-at-Risk</w:t>
      </w:r>
      <w:r w:rsidR="002245CA">
        <w:t xml:space="preserve"> is a new field </w:t>
      </w:r>
      <w:r w:rsidR="00177F91">
        <w:t xml:space="preserve">of macroeconomics </w:t>
      </w:r>
      <w:r w:rsidR="002245CA">
        <w:t>and</w:t>
      </w:r>
      <w:r>
        <w:t xml:space="preserve"> </w:t>
      </w:r>
      <w:r w:rsidR="002F3AB7">
        <w:t xml:space="preserve">can be understood </w:t>
      </w:r>
      <w:r w:rsidR="002245CA">
        <w:t xml:space="preserve">by looking at a related literature known as </w:t>
      </w:r>
      <w:r w:rsidR="002F3AB7">
        <w:t>“Value-at-Risk” (</w:t>
      </w:r>
      <w:proofErr w:type="spellStart"/>
      <w:r w:rsidR="002F3AB7">
        <w:t>VaR</w:t>
      </w:r>
      <w:proofErr w:type="spellEnd"/>
      <w:r w:rsidR="002F3AB7">
        <w:t xml:space="preserve">). </w:t>
      </w:r>
    </w:p>
    <w:p w14:paraId="419A3317" w14:textId="63838FFF" w:rsidR="00741A9D" w:rsidRDefault="002F3AB7" w:rsidP="00FF768B">
      <w:r>
        <w:t xml:space="preserve">Value-at-Risk is </w:t>
      </w:r>
      <w:r w:rsidR="00B14595">
        <w:t xml:space="preserve">used in </w:t>
      </w:r>
      <w:r>
        <w:t xml:space="preserve">market risk </w:t>
      </w:r>
      <w:r w:rsidR="00B14595">
        <w:t>to</w:t>
      </w:r>
      <w:r>
        <w:t xml:space="preserve"> estimates a </w:t>
      </w:r>
      <w:r w:rsidRPr="002F3AB7">
        <w:rPr>
          <w:u w:val="single"/>
        </w:rPr>
        <w:t>maximum</w:t>
      </w:r>
      <w:r w:rsidR="00225049">
        <w:t xml:space="preserve"> </w:t>
      </w:r>
      <w:r>
        <w:t xml:space="preserve">trading loss (we are 95% confident that losses </w:t>
      </w:r>
      <w:r w:rsidRPr="002F3AB7">
        <w:rPr>
          <w:u w:val="single"/>
        </w:rPr>
        <w:t>won’t excee</w:t>
      </w:r>
      <w:r>
        <w:rPr>
          <w:u w:val="single"/>
        </w:rPr>
        <w:t xml:space="preserve">d </w:t>
      </w:r>
      <w:proofErr w:type="spellStart"/>
      <w:r>
        <w:rPr>
          <w:u w:val="single"/>
        </w:rPr>
        <w:t>VaR</w:t>
      </w:r>
      <w:proofErr w:type="spellEnd"/>
      <w:r>
        <w:t xml:space="preserve"> – </w:t>
      </w:r>
      <w:proofErr w:type="gramStart"/>
      <w:r>
        <w:t>i.e.</w:t>
      </w:r>
      <w:proofErr w:type="gramEnd"/>
      <w:r>
        <w:t xml:space="preserve"> will not fall into the shaded </w:t>
      </w:r>
      <w:r w:rsidR="00225049">
        <w:t>area below the 5</w:t>
      </w:r>
      <w:r w:rsidR="00225049" w:rsidRPr="00225049">
        <w:rPr>
          <w:vertAlign w:val="superscript"/>
        </w:rPr>
        <w:t>th</w:t>
      </w:r>
      <w:r w:rsidR="00225049">
        <w:t xml:space="preserve"> quantile</w:t>
      </w:r>
      <w:r>
        <w:t>)</w:t>
      </w:r>
      <w:r w:rsidR="00225049">
        <w:t>.</w:t>
      </w:r>
    </w:p>
    <w:p w14:paraId="70A31836" w14:textId="03734832" w:rsidR="002F3AB7" w:rsidRDefault="00DC6ACA" w:rsidP="00FF768B">
      <w:r>
        <w:rPr>
          <w:noProof/>
        </w:rPr>
        <w:drawing>
          <wp:inline distT="0" distB="0" distL="0" distR="0" wp14:anchorId="78A54854" wp14:editId="5D920D78">
            <wp:extent cx="4979927" cy="2787092"/>
            <wp:effectExtent l="0" t="0" r="0" b="0"/>
            <wp:docPr id="188432180" name="Picture 1" descr="A graph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2180" name="Picture 1" descr="A graph with a black line&#10;&#10;Description automatically generated"/>
                    <pic:cNvPicPr/>
                  </pic:nvPicPr>
                  <pic:blipFill>
                    <a:blip r:embed="rId15"/>
                    <a:stretch>
                      <a:fillRect/>
                    </a:stretch>
                  </pic:blipFill>
                  <pic:spPr>
                    <a:xfrm>
                      <a:off x="0" y="0"/>
                      <a:ext cx="5009212" cy="2803482"/>
                    </a:xfrm>
                    <a:prstGeom prst="rect">
                      <a:avLst/>
                    </a:prstGeom>
                  </pic:spPr>
                </pic:pic>
              </a:graphicData>
            </a:graphic>
          </wp:inline>
        </w:drawing>
      </w:r>
    </w:p>
    <w:p w14:paraId="1226B635" w14:textId="73162F8A" w:rsidR="000B2F1E" w:rsidRDefault="000B2F1E" w:rsidP="00AE048F">
      <w:pPr>
        <w:spacing w:after="0"/>
      </w:pPr>
      <w:r>
        <w:lastRenderedPageBreak/>
        <w:t>Large banks are required by regulators to calculate their daily Value-at-Risk</w:t>
      </w:r>
      <w:r w:rsidR="00AE048F">
        <w:t xml:space="preserve">. </w:t>
      </w:r>
      <w:r>
        <w:t>The idea is</w:t>
      </w:r>
      <w:r w:rsidR="00177F91" w:rsidRPr="00177F91">
        <w:t xml:space="preserve"> </w:t>
      </w:r>
      <w:r w:rsidR="00177F91">
        <w:t>simple</w:t>
      </w:r>
      <w:r>
        <w:t xml:space="preserve">:  </w:t>
      </w:r>
    </w:p>
    <w:p w14:paraId="15212D8E" w14:textId="48EA834C" w:rsidR="002245CA" w:rsidRDefault="002245CA" w:rsidP="00AE048F">
      <w:pPr>
        <w:pStyle w:val="ListParagraph"/>
        <w:numPr>
          <w:ilvl w:val="0"/>
          <w:numId w:val="12"/>
        </w:numPr>
      </w:pPr>
      <w:r>
        <w:t xml:space="preserve">We are not interested in the mean of the </w:t>
      </w:r>
      <w:r w:rsidR="00177F91">
        <w:t xml:space="preserve">loss </w:t>
      </w:r>
      <w:r>
        <w:t>distribution (which would represent an average loss)</w:t>
      </w:r>
    </w:p>
    <w:p w14:paraId="4850FDFB" w14:textId="421EA7FD" w:rsidR="002245CA" w:rsidRDefault="002245CA" w:rsidP="00AE048F">
      <w:pPr>
        <w:pStyle w:val="ListParagraph"/>
        <w:numPr>
          <w:ilvl w:val="0"/>
          <w:numId w:val="12"/>
        </w:numPr>
      </w:pPr>
      <w:r>
        <w:t xml:space="preserve">We are interested in an estimate of loss that is a reasonable proxy for the </w:t>
      </w:r>
      <w:r w:rsidRPr="002245CA">
        <w:rPr>
          <w:u w:val="single"/>
        </w:rPr>
        <w:t>maximum</w:t>
      </w:r>
      <w:r>
        <w:t xml:space="preserve"> loss </w:t>
      </w:r>
      <w:proofErr w:type="gramStart"/>
      <w:r>
        <w:t>expected</w:t>
      </w:r>
      <w:proofErr w:type="gramEnd"/>
      <w:r w:rsidR="00177F91">
        <w:t xml:space="preserve"> </w:t>
      </w:r>
    </w:p>
    <w:p w14:paraId="0982F83A" w14:textId="18C7AA37" w:rsidR="000B2F1E" w:rsidRDefault="000B2F1E" w:rsidP="00AE048F">
      <w:pPr>
        <w:pStyle w:val="ListParagraph"/>
        <w:numPr>
          <w:ilvl w:val="0"/>
          <w:numId w:val="12"/>
        </w:numPr>
      </w:pPr>
      <w:r>
        <w:t xml:space="preserve">The </w:t>
      </w:r>
      <w:r w:rsidR="00177F91">
        <w:t>5</w:t>
      </w:r>
      <w:r w:rsidR="00177F91" w:rsidRPr="00177F91">
        <w:rPr>
          <w:vertAlign w:val="superscript"/>
        </w:rPr>
        <w:t>th</w:t>
      </w:r>
      <w:r>
        <w:t xml:space="preserve"> quantile of the loss distribution is the Value-at-Risk</w:t>
      </w:r>
      <w:r w:rsidR="00177F91">
        <w:t>:</w:t>
      </w:r>
    </w:p>
    <w:p w14:paraId="376876C8" w14:textId="7089288C" w:rsidR="00180D38" w:rsidRDefault="00180D38" w:rsidP="00AE048F">
      <w:pPr>
        <w:pStyle w:val="ListParagraph"/>
        <w:numPr>
          <w:ilvl w:val="1"/>
          <w:numId w:val="12"/>
        </w:numPr>
      </w:pPr>
      <w:r>
        <w:t>It is a</w:t>
      </w:r>
      <w:r w:rsidR="002245CA">
        <w:t xml:space="preserve"> large </w:t>
      </w:r>
      <w:r>
        <w:t xml:space="preserve">loss that will </w:t>
      </w:r>
      <w:r w:rsidR="006E51DB">
        <w:t xml:space="preserve">at most </w:t>
      </w:r>
      <w:r>
        <w:t xml:space="preserve">be exceeded </w:t>
      </w:r>
      <w:r w:rsidR="00225049">
        <w:t>on 5 out of 100 trading days</w:t>
      </w:r>
      <w:r w:rsidR="00177F91">
        <w:t xml:space="preserve"> on which losses occur</w:t>
      </w:r>
      <w:r w:rsidR="00225049">
        <w:t xml:space="preserve">. </w:t>
      </w:r>
    </w:p>
    <w:p w14:paraId="518ED7C3" w14:textId="2FAFAA98" w:rsidR="00177F91" w:rsidRDefault="00225049" w:rsidP="00177F91">
      <w:r>
        <w:t xml:space="preserve">Growth-at-risk </w:t>
      </w:r>
      <w:r w:rsidR="00177F91">
        <w:t>is in essence identical to</w:t>
      </w:r>
      <w:r w:rsidR="002E4709">
        <w:t xml:space="preserve"> </w:t>
      </w:r>
      <w:r>
        <w:t xml:space="preserve">Value-at-Risk. </w:t>
      </w:r>
      <w:r w:rsidR="002245CA">
        <w:t xml:space="preserve">Growth-at-risk is not interested in the </w:t>
      </w:r>
      <w:r w:rsidRPr="006E51DB">
        <w:rPr>
          <w:u w:val="single"/>
        </w:rPr>
        <w:t>expected</w:t>
      </w:r>
      <w:r>
        <w:t xml:space="preserve"> </w:t>
      </w:r>
      <w:r w:rsidR="002245CA">
        <w:t xml:space="preserve">loss of </w:t>
      </w:r>
      <w:r w:rsidR="002E4709">
        <w:t>output</w:t>
      </w:r>
      <w:r w:rsidR="002245CA">
        <w:t xml:space="preserve"> </w:t>
      </w:r>
      <w:r w:rsidR="00B428DE">
        <w:t>(the mean of the distribution).</w:t>
      </w:r>
      <w:r w:rsidR="002245CA">
        <w:t xml:space="preserve"> Instead, growth-at-risk</w:t>
      </w:r>
      <w:r>
        <w:t xml:space="preserve"> </w:t>
      </w:r>
      <w:r w:rsidR="002245CA">
        <w:t>wants to estimate the maximum loss of</w:t>
      </w:r>
      <w:r>
        <w:t xml:space="preserve"> GDP that would occur </w:t>
      </w:r>
      <w:r w:rsidR="002245CA">
        <w:t xml:space="preserve">if economic growth fell into the left </w:t>
      </w:r>
      <w:r w:rsidR="00774227">
        <w:t xml:space="preserve">tail </w:t>
      </w:r>
      <w:r w:rsidR="00B607DB">
        <w:t>of the GDP growth distribution</w:t>
      </w:r>
      <w:r w:rsidR="002245CA">
        <w:t xml:space="preserve"> (</w:t>
      </w:r>
      <w:r w:rsidR="00E648D1">
        <w:t xml:space="preserve">represented by </w:t>
      </w:r>
      <w:r w:rsidR="00B428DE">
        <w:t>the 5</w:t>
      </w:r>
      <w:r w:rsidR="00B428DE" w:rsidRPr="00B428DE">
        <w:rPr>
          <w:vertAlign w:val="superscript"/>
        </w:rPr>
        <w:t>th</w:t>
      </w:r>
      <w:r w:rsidR="00B428DE">
        <w:t xml:space="preserve"> quantile of the growth distribution</w:t>
      </w:r>
      <w:r w:rsidR="00774227">
        <w:t>)</w:t>
      </w:r>
      <w:r w:rsidR="00B607DB">
        <w:t xml:space="preserve">. The GDP growth that could be lost in this tail event is </w:t>
      </w:r>
      <w:r w:rsidR="00774227">
        <w:t xml:space="preserve">considered </w:t>
      </w:r>
      <w:r w:rsidR="00B607DB">
        <w:t xml:space="preserve">the “vulnerable growth” or the growth “at risk”. </w:t>
      </w:r>
    </w:p>
    <w:p w14:paraId="2C602EB1" w14:textId="1D3B8627" w:rsidR="00F45B0F" w:rsidRDefault="00F45B0F" w:rsidP="00F45B0F">
      <w:pPr>
        <w:pStyle w:val="Heading2"/>
        <w:rPr>
          <w:bCs/>
        </w:rPr>
      </w:pPr>
      <w:r>
        <w:rPr>
          <w:bCs/>
        </w:rPr>
        <w:t>What do you have to say critically about what’s known?</w:t>
      </w:r>
    </w:p>
    <w:p w14:paraId="00EBF4A7" w14:textId="105397A4" w:rsidR="00F45B0F" w:rsidRDefault="00774227" w:rsidP="00F45B0F">
      <w:r>
        <w:t>Like all model</w:t>
      </w:r>
      <w:r w:rsidR="00B428DE">
        <w:t>s</w:t>
      </w:r>
      <w:r>
        <w:t xml:space="preserve">, the </w:t>
      </w:r>
      <w:proofErr w:type="spellStart"/>
      <w:r>
        <w:t>GaR</w:t>
      </w:r>
      <w:proofErr w:type="spellEnd"/>
      <w:r>
        <w:t xml:space="preserve"> approach serves certain objectives, which it generally accomplishes.  Other objectives may require a different approach.</w:t>
      </w:r>
    </w:p>
    <w:p w14:paraId="16D32A5A" w14:textId="399B72D4" w:rsidR="00774227" w:rsidRDefault="00774227" w:rsidP="00AE048F">
      <w:pPr>
        <w:spacing w:after="0"/>
      </w:pPr>
      <w:r>
        <w:t xml:space="preserve">Specifically, </w:t>
      </w:r>
      <w:proofErr w:type="spellStart"/>
      <w:r>
        <w:t>GaR</w:t>
      </w:r>
      <w:proofErr w:type="spellEnd"/>
      <w:r>
        <w:t xml:space="preserve"> asks what the </w:t>
      </w:r>
      <w:r w:rsidR="003B4F80">
        <w:t>worst-case</w:t>
      </w:r>
      <w:r>
        <w:t xml:space="preserve"> GDP growth contraction would be, given a current shock. Such an estimate is analogous to a stress test</w:t>
      </w:r>
      <w:r w:rsidR="003C65CE">
        <w:t xml:space="preserve">.  It has several advantages:  </w:t>
      </w:r>
    </w:p>
    <w:p w14:paraId="41F6C59D" w14:textId="7DF34C10" w:rsidR="003C65CE" w:rsidRDefault="003C65CE" w:rsidP="003C65CE">
      <w:pPr>
        <w:pStyle w:val="ListParagraph"/>
        <w:numPr>
          <w:ilvl w:val="0"/>
          <w:numId w:val="14"/>
        </w:numPr>
      </w:pPr>
      <w:r>
        <w:t xml:space="preserve">It can be used for planning purposes – given the </w:t>
      </w:r>
      <w:r w:rsidR="003B4F80">
        <w:t>worst-case</w:t>
      </w:r>
      <w:r>
        <w:t xml:space="preserve"> GDP contraction, we can calculate the likely unemployment rate</w:t>
      </w:r>
      <w:r w:rsidR="003B4F80">
        <w:t xml:space="preserve">, for </w:t>
      </w:r>
      <w:proofErr w:type="gramStart"/>
      <w:r w:rsidR="003B4F80">
        <w:t>instance</w:t>
      </w:r>
      <w:proofErr w:type="gramEnd"/>
    </w:p>
    <w:p w14:paraId="05D9315F" w14:textId="077B1EC0" w:rsidR="003C65CE" w:rsidRDefault="003C65CE" w:rsidP="003C65CE">
      <w:pPr>
        <w:pStyle w:val="ListParagraph"/>
        <w:numPr>
          <w:ilvl w:val="0"/>
          <w:numId w:val="14"/>
        </w:numPr>
      </w:pPr>
      <w:r>
        <w:t xml:space="preserve">A </w:t>
      </w:r>
      <w:r w:rsidR="003B4F80">
        <w:t>worst-case</w:t>
      </w:r>
      <w:r>
        <w:t xml:space="preserve"> estimate </w:t>
      </w:r>
      <w:r w:rsidR="00AE048F">
        <w:t>asks</w:t>
      </w:r>
      <w:r w:rsidR="003B4F80">
        <w:t xml:space="preserve"> how </w:t>
      </w:r>
      <w:r>
        <w:t xml:space="preserve">prepared we </w:t>
      </w:r>
      <w:r w:rsidR="00AE048F">
        <w:t>would be</w:t>
      </w:r>
      <w:r>
        <w:t xml:space="preserve"> and whether more can be done to mitigate the worst </w:t>
      </w:r>
      <w:proofErr w:type="gramStart"/>
      <w:r>
        <w:t>case</w:t>
      </w:r>
      <w:proofErr w:type="gramEnd"/>
    </w:p>
    <w:p w14:paraId="6B0E0320" w14:textId="735E428C" w:rsidR="003C65CE" w:rsidRDefault="00AE048F" w:rsidP="003C65CE">
      <w:pPr>
        <w:pStyle w:val="ListParagraph"/>
        <w:numPr>
          <w:ilvl w:val="0"/>
          <w:numId w:val="14"/>
        </w:numPr>
      </w:pPr>
      <w:r>
        <w:t xml:space="preserve">Since </w:t>
      </w:r>
      <w:proofErr w:type="spellStart"/>
      <w:r w:rsidR="003C65CE">
        <w:t>GaR</w:t>
      </w:r>
      <w:proofErr w:type="spellEnd"/>
      <w:r w:rsidR="003C65CE">
        <w:t xml:space="preserve"> is forward-looking</w:t>
      </w:r>
      <w:r>
        <w:t xml:space="preserve">, there is </w:t>
      </w:r>
      <w:r w:rsidR="003C65CE">
        <w:t xml:space="preserve">time for government intervention to counteract </w:t>
      </w:r>
      <w:r>
        <w:t>an unfolding worst</w:t>
      </w:r>
      <w:r w:rsidR="006E51DB">
        <w:t>-</w:t>
      </w:r>
      <w:r>
        <w:t>case</w:t>
      </w:r>
      <w:r w:rsidR="003C65CE">
        <w:t xml:space="preserve"> contraction</w:t>
      </w:r>
      <w:r w:rsidR="00B428DE">
        <w:t xml:space="preserve"> (</w:t>
      </w:r>
      <w:proofErr w:type="gramStart"/>
      <w:r w:rsidR="003C65CE">
        <w:t>e.g.</w:t>
      </w:r>
      <w:proofErr w:type="gramEnd"/>
      <w:r w:rsidR="003C65CE">
        <w:t xml:space="preserve"> by expanding fiscal spending</w:t>
      </w:r>
      <w:r w:rsidR="00B428DE">
        <w:t>)</w:t>
      </w:r>
      <w:r w:rsidR="003C65CE">
        <w:t xml:space="preserve">.  </w:t>
      </w:r>
    </w:p>
    <w:p w14:paraId="7193D6EA" w14:textId="1EDC08F2" w:rsidR="003C65CE" w:rsidRDefault="003C65CE" w:rsidP="003C65CE">
      <w:proofErr w:type="spellStart"/>
      <w:r>
        <w:t>GaR</w:t>
      </w:r>
      <w:proofErr w:type="spellEnd"/>
      <w:r>
        <w:t xml:space="preserve"> is not a growth forecast. Economic forecasting aims to predict the expected value (the mean) of next </w:t>
      </w:r>
      <w:r w:rsidR="00660C5C">
        <w:t>period’s</w:t>
      </w:r>
      <w:r>
        <w:t xml:space="preserve"> growth distribution</w:t>
      </w:r>
      <w:r w:rsidR="003B4F80">
        <w:t xml:space="preserve"> (</w:t>
      </w:r>
      <w:r w:rsidR="00D3291D">
        <w:t>which is</w:t>
      </w:r>
      <w:r w:rsidR="003B4F80">
        <w:t xml:space="preserve"> the most likely outcome)</w:t>
      </w:r>
      <w:r>
        <w:t xml:space="preserve">. Forecasters will </w:t>
      </w:r>
      <w:r w:rsidR="008C22D3">
        <w:t>talk about</w:t>
      </w:r>
      <w:r>
        <w:t xml:space="preserve"> up and downside risks to the forecast</w:t>
      </w:r>
      <w:r w:rsidR="00D3291D">
        <w:t xml:space="preserve"> (but do not provide an </w:t>
      </w:r>
      <w:r w:rsidR="008C22D3">
        <w:t>estimate</w:t>
      </w:r>
      <w:r w:rsidR="00D3291D">
        <w:t xml:space="preserve"> of tail events)</w:t>
      </w:r>
      <w:r>
        <w:t xml:space="preserve">. </w:t>
      </w:r>
    </w:p>
    <w:p w14:paraId="6ED47810" w14:textId="334FE2C0" w:rsidR="003C65CE" w:rsidRDefault="003C65CE" w:rsidP="003C65CE">
      <w:pPr>
        <w:pStyle w:val="ListParagraph"/>
        <w:numPr>
          <w:ilvl w:val="0"/>
          <w:numId w:val="15"/>
        </w:numPr>
      </w:pPr>
      <w:proofErr w:type="spellStart"/>
      <w:r>
        <w:t>GaR</w:t>
      </w:r>
      <w:proofErr w:type="spellEnd"/>
      <w:r>
        <w:t xml:space="preserve"> admits that its </w:t>
      </w:r>
      <w:r w:rsidR="003B4F80">
        <w:t xml:space="preserve">worst-case estimate is a tail event and, as such, not the expected value.  </w:t>
      </w:r>
    </w:p>
    <w:p w14:paraId="6608C7B0" w14:textId="42BA99C8" w:rsidR="00660C5C" w:rsidRDefault="00660C5C" w:rsidP="003C65CE">
      <w:pPr>
        <w:pStyle w:val="ListParagraph"/>
        <w:numPr>
          <w:ilvl w:val="0"/>
          <w:numId w:val="15"/>
        </w:numPr>
      </w:pPr>
      <w:proofErr w:type="spellStart"/>
      <w:r>
        <w:t>GaR</w:t>
      </w:r>
      <w:proofErr w:type="spellEnd"/>
      <w:r>
        <w:t xml:space="preserve"> is literally the equivalent of a macroeconomic stress test – letting us anticipate what the </w:t>
      </w:r>
      <w:proofErr w:type="gramStart"/>
      <w:r>
        <w:t>worst case</w:t>
      </w:r>
      <w:proofErr w:type="gramEnd"/>
      <w:r>
        <w:t xml:space="preserve"> outcome is given a shock.</w:t>
      </w:r>
    </w:p>
    <w:p w14:paraId="3060BDBF" w14:textId="77777777" w:rsidR="00177F91" w:rsidRDefault="00177F91" w:rsidP="00177F91"/>
    <w:p w14:paraId="65C51001" w14:textId="21BE6FE2" w:rsidR="000E5643" w:rsidRDefault="002D2DB9" w:rsidP="000E5643">
      <w:pPr>
        <w:pStyle w:val="Heading1"/>
      </w:pPr>
      <w:r>
        <w:t xml:space="preserve">2. </w:t>
      </w:r>
      <w:r w:rsidR="000E5643">
        <w:t>Introducing the approach</w:t>
      </w:r>
    </w:p>
    <w:p w14:paraId="0712365D" w14:textId="77777777" w:rsidR="003A768F" w:rsidRDefault="000E5643" w:rsidP="000E5643">
      <w:r>
        <w:t>Th</w:t>
      </w:r>
      <w:r w:rsidR="00177F91">
        <w:t xml:space="preserve">e approach </w:t>
      </w:r>
      <w:r w:rsidR="003A768F">
        <w:t xml:space="preserve">to growth-at-risk can be described in three steps: </w:t>
      </w:r>
    </w:p>
    <w:p w14:paraId="3FA46300" w14:textId="752BA793" w:rsidR="00C27787" w:rsidRDefault="003A768F" w:rsidP="003A768F">
      <w:pPr>
        <w:pStyle w:val="ListParagraph"/>
        <w:numPr>
          <w:ilvl w:val="0"/>
          <w:numId w:val="16"/>
        </w:numPr>
      </w:pPr>
      <w:r>
        <w:t xml:space="preserve">Future </w:t>
      </w:r>
      <w:r w:rsidR="00E648D1">
        <w:t xml:space="preserve">GDP </w:t>
      </w:r>
      <w:r>
        <w:t>growth is</w:t>
      </w:r>
      <w:r w:rsidR="00E648D1">
        <w:t xml:space="preserve"> to be</w:t>
      </w:r>
      <w:r>
        <w:t xml:space="preserve"> linked to a forward-looking indicator variable (independent variable).  </w:t>
      </w:r>
      <w:r w:rsidR="00C27787">
        <w:t>For example, the IMF uses a financial conditions index</w:t>
      </w:r>
      <w:r w:rsidR="00982745">
        <w:t xml:space="preserve"> </w:t>
      </w:r>
      <w:r w:rsidR="00E648D1">
        <w:t xml:space="preserve">(FCI) </w:t>
      </w:r>
      <w:r w:rsidR="00982745">
        <w:t xml:space="preserve">as indicator </w:t>
      </w:r>
      <w:r w:rsidR="00982745">
        <w:lastRenderedPageBreak/>
        <w:t>variable</w:t>
      </w:r>
      <w:r w:rsidR="00C27787">
        <w:t>:  if financial conditions are tight today, growth will contract in the next period; if financial conditions are loose</w:t>
      </w:r>
      <w:r w:rsidR="00113841">
        <w:t>ned today</w:t>
      </w:r>
      <w:r w:rsidR="00C27787">
        <w:t>, growth will expand in the next period.</w:t>
      </w:r>
    </w:p>
    <w:p w14:paraId="0D7F5463" w14:textId="26C8AA37" w:rsidR="003A768F" w:rsidRDefault="00C27787" w:rsidP="000E7B4B">
      <w:pPr>
        <w:pStyle w:val="ListParagraph"/>
        <w:numPr>
          <w:ilvl w:val="0"/>
          <w:numId w:val="16"/>
        </w:numPr>
      </w:pPr>
      <w:r>
        <w:t xml:space="preserve">The approach uses quantile regression to estimate the </w:t>
      </w:r>
      <w:r w:rsidRPr="00E648D1">
        <w:rPr>
          <w:u w:val="single"/>
        </w:rPr>
        <w:t>entire distribution</w:t>
      </w:r>
      <w:r>
        <w:t xml:space="preserve"> of future GDP (in contrast to a point forecast as with OLS regression).  </w:t>
      </w:r>
      <w:r w:rsidR="00982745">
        <w:t>Specifically, w</w:t>
      </w:r>
      <w:r w:rsidR="00982745" w:rsidRPr="00982745">
        <w:t xml:space="preserve">e run quantile regressions from the fifth quantile </w:t>
      </w:r>
      <w:r w:rsidR="00982745">
        <w:t xml:space="preserve">of the GDP growth distribution </w:t>
      </w:r>
      <w:r w:rsidR="00982745" w:rsidRPr="00982745">
        <w:t xml:space="preserve">to the ninety-fifth quantile, in increments of 2.5 quantiles (for a total of 37 regression estimates per quarter). </w:t>
      </w:r>
      <w:r w:rsidR="00982745">
        <w:t>This allows us to draw the full conditional growth distribution by smoothing the 3</w:t>
      </w:r>
      <w:r w:rsidR="00982745" w:rsidRPr="00982745">
        <w:t xml:space="preserve">7 independently </w:t>
      </w:r>
      <w:r w:rsidR="00982745">
        <w:t xml:space="preserve">estimates along the curve.   </w:t>
      </w:r>
    </w:p>
    <w:p w14:paraId="52A7C03F" w14:textId="00B1E430" w:rsidR="003A768F" w:rsidRDefault="00982745" w:rsidP="000E5643">
      <w:pPr>
        <w:pStyle w:val="ListParagraph"/>
        <w:numPr>
          <w:ilvl w:val="0"/>
          <w:numId w:val="16"/>
        </w:numPr>
      </w:pPr>
      <w:r>
        <w:t>Conclusion: Assuming the current growth distribution is orange and financial conditions get tighter, we can draw the future blue distribution</w:t>
      </w:r>
      <w:r w:rsidR="00113841">
        <w:t>,</w:t>
      </w:r>
      <w:r>
        <w:t xml:space="preserve"> </w:t>
      </w:r>
      <w:r w:rsidR="00113841">
        <w:t>which</w:t>
      </w:r>
      <w:r>
        <w:t xml:space="preserve"> will have a median </w:t>
      </w:r>
      <w:r w:rsidR="00113841">
        <w:t>and 5</w:t>
      </w:r>
      <w:r w:rsidR="00113841" w:rsidRPr="00113841">
        <w:rPr>
          <w:vertAlign w:val="superscript"/>
        </w:rPr>
        <w:t>th</w:t>
      </w:r>
      <w:r w:rsidR="00113841">
        <w:t xml:space="preserve"> quantile estimate (“</w:t>
      </w:r>
      <w:proofErr w:type="spellStart"/>
      <w:r w:rsidR="00113841">
        <w:t>GaR</w:t>
      </w:r>
      <w:proofErr w:type="spellEnd"/>
      <w:r w:rsidR="00113841">
        <w:t>”) that are associated with a lower GDP growth rates in the next period</w:t>
      </w:r>
      <w:r w:rsidR="00F245E8">
        <w:t xml:space="preserve"> (</w:t>
      </w:r>
      <w:r w:rsidR="00E648D1">
        <w:t xml:space="preserve">graph taken from </w:t>
      </w:r>
      <w:hyperlink r:id="rId16" w:history="1">
        <w:r w:rsidR="00F245E8" w:rsidRPr="00F245E8">
          <w:t>Nellie Liang</w:t>
        </w:r>
      </w:hyperlink>
      <w:r w:rsidR="00F245E8" w:rsidRPr="00F245E8">
        <w:t> and </w:t>
      </w:r>
      <w:hyperlink r:id="rId17" w:tgtFrame="_blank" w:history="1">
        <w:r w:rsidR="00F245E8" w:rsidRPr="00F245E8">
          <w:t>Tobias Adrian</w:t>
        </w:r>
      </w:hyperlink>
      <w:r w:rsidR="00F245E8" w:rsidRPr="00F245E8">
        <w:t>, “How Growth-at-Risk can help central bankers gauge financial stability risks”</w:t>
      </w:r>
      <w:r w:rsidR="00594F68">
        <w:t>,</w:t>
      </w:r>
      <w:r w:rsidR="00F245E8" w:rsidRPr="00F245E8">
        <w:t xml:space="preserve"> Brookings, April 11, 2019</w:t>
      </w:r>
      <w:r w:rsidR="00F245E8">
        <w:t>).</w:t>
      </w:r>
    </w:p>
    <w:p w14:paraId="3EB37EC1" w14:textId="0B4E01DF" w:rsidR="003A768F" w:rsidRDefault="00C27787" w:rsidP="000E5643">
      <w:r>
        <w:rPr>
          <w:noProof/>
        </w:rPr>
        <w:drawing>
          <wp:inline distT="0" distB="0" distL="0" distR="0" wp14:anchorId="56FC1A3E" wp14:editId="5806C183">
            <wp:extent cx="3031701" cy="2743200"/>
            <wp:effectExtent l="0" t="0" r="0" b="0"/>
            <wp:docPr id="1230014368" name="Picture 1" descr="A graph of a graph with arrows pointing to the sam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14368" name="Picture 1" descr="A graph of a graph with arrows pointing to the same line&#10;&#10;Description automatically generated"/>
                    <pic:cNvPicPr/>
                  </pic:nvPicPr>
                  <pic:blipFill>
                    <a:blip r:embed="rId18"/>
                    <a:stretch>
                      <a:fillRect/>
                    </a:stretch>
                  </pic:blipFill>
                  <pic:spPr>
                    <a:xfrm>
                      <a:off x="0" y="0"/>
                      <a:ext cx="3055351" cy="2764599"/>
                    </a:xfrm>
                    <a:prstGeom prst="rect">
                      <a:avLst/>
                    </a:prstGeom>
                  </pic:spPr>
                </pic:pic>
              </a:graphicData>
            </a:graphic>
          </wp:inline>
        </w:drawing>
      </w:r>
      <w:r w:rsidR="001573F0" w:rsidRPr="001573F0">
        <w:rPr>
          <w:noProof/>
        </w:rPr>
        <w:t xml:space="preserve"> </w:t>
      </w:r>
    </w:p>
    <w:p w14:paraId="06123CA9" w14:textId="77777777" w:rsidR="00F0252E" w:rsidRDefault="00F245E8" w:rsidP="00F0252E">
      <w:pPr>
        <w:spacing w:after="0"/>
        <w:rPr>
          <w:bCs/>
        </w:rPr>
      </w:pPr>
      <w:r>
        <w:rPr>
          <w:bCs/>
        </w:rPr>
        <w:t xml:space="preserve">In the approach used here, we estimate quarterly GDP growth distributions conditional on the indicator variable going back over decades to illustrate how the growth distributions change over time. </w:t>
      </w:r>
    </w:p>
    <w:p w14:paraId="21BBF70C" w14:textId="2F183FC4" w:rsidR="00660C5C" w:rsidRPr="00F0252E" w:rsidRDefault="00F0252E" w:rsidP="00F0252E">
      <w:pPr>
        <w:pStyle w:val="ListParagraph"/>
        <w:numPr>
          <w:ilvl w:val="0"/>
          <w:numId w:val="21"/>
        </w:numPr>
        <w:rPr>
          <w:bCs/>
        </w:rPr>
      </w:pPr>
      <w:r w:rsidRPr="00F0252E">
        <w:rPr>
          <w:bCs/>
        </w:rPr>
        <w:t xml:space="preserve">This will allow us to visualize the usefulness of the </w:t>
      </w:r>
      <w:proofErr w:type="spellStart"/>
      <w:r w:rsidRPr="00F0252E">
        <w:rPr>
          <w:bCs/>
        </w:rPr>
        <w:t>GaR</w:t>
      </w:r>
      <w:proofErr w:type="spellEnd"/>
      <w:r w:rsidRPr="00F0252E">
        <w:rPr>
          <w:bCs/>
        </w:rPr>
        <w:t xml:space="preserve"> </w:t>
      </w:r>
      <w:proofErr w:type="gramStart"/>
      <w:r w:rsidRPr="00F0252E">
        <w:rPr>
          <w:bCs/>
        </w:rPr>
        <w:t>approach</w:t>
      </w:r>
      <w:proofErr w:type="gramEnd"/>
      <w:r w:rsidRPr="00F0252E">
        <w:rPr>
          <w:bCs/>
        </w:rPr>
        <w:t xml:space="preserve"> </w:t>
      </w:r>
    </w:p>
    <w:p w14:paraId="0B3B25D1" w14:textId="300DF99F" w:rsidR="00F0252E" w:rsidRPr="00F0252E" w:rsidRDefault="00660C5C" w:rsidP="00F0252E">
      <w:pPr>
        <w:pStyle w:val="ListParagraph"/>
        <w:numPr>
          <w:ilvl w:val="0"/>
          <w:numId w:val="20"/>
        </w:numPr>
        <w:rPr>
          <w:bCs/>
        </w:rPr>
      </w:pPr>
      <w:r>
        <w:rPr>
          <w:bCs/>
        </w:rPr>
        <w:t xml:space="preserve">We have </w:t>
      </w:r>
      <w:r w:rsidRPr="00F0252E">
        <w:rPr>
          <w:bCs/>
        </w:rPr>
        <w:t>data going back to the 196</w:t>
      </w:r>
      <w:r w:rsidR="00F0252E" w:rsidRPr="00F0252E">
        <w:rPr>
          <w:bCs/>
        </w:rPr>
        <w:t>2</w:t>
      </w:r>
      <w:r w:rsidRPr="00F0252E">
        <w:rPr>
          <w:bCs/>
        </w:rPr>
        <w:t xml:space="preserve">. We can calculate quarterly GDP growth distributions </w:t>
      </w:r>
      <w:r w:rsidR="00F0252E" w:rsidRPr="00F0252E">
        <w:rPr>
          <w:bCs/>
        </w:rPr>
        <w:t>for about 60 years (= 240 quarters)</w:t>
      </w:r>
    </w:p>
    <w:p w14:paraId="264EBB40" w14:textId="5D3C21B7" w:rsidR="00F0252E" w:rsidRPr="00F0252E" w:rsidRDefault="00F0252E" w:rsidP="00F0252E">
      <w:pPr>
        <w:pStyle w:val="ListParagraph"/>
        <w:numPr>
          <w:ilvl w:val="0"/>
          <w:numId w:val="20"/>
        </w:numPr>
        <w:rPr>
          <w:bCs/>
        </w:rPr>
      </w:pPr>
      <w:r w:rsidRPr="00F0252E">
        <w:rPr>
          <w:bCs/>
        </w:rPr>
        <w:t xml:space="preserve">Because </w:t>
      </w:r>
      <w:r>
        <w:rPr>
          <w:bCs/>
        </w:rPr>
        <w:t>we</w:t>
      </w:r>
      <w:r w:rsidRPr="00F0252E">
        <w:rPr>
          <w:bCs/>
        </w:rPr>
        <w:t xml:space="preserve"> calculate GDP at 37 quantiles per quarter over </w:t>
      </w:r>
      <w:r>
        <w:rPr>
          <w:bCs/>
        </w:rPr>
        <w:t>240</w:t>
      </w:r>
      <w:r w:rsidRPr="00F0252E">
        <w:rPr>
          <w:bCs/>
        </w:rPr>
        <w:t xml:space="preserve"> quarters, the project makes 8,</w:t>
      </w:r>
      <w:r>
        <w:rPr>
          <w:bCs/>
        </w:rPr>
        <w:t>880</w:t>
      </w:r>
      <w:r w:rsidRPr="00F0252E">
        <w:rPr>
          <w:bCs/>
        </w:rPr>
        <w:t xml:space="preserve"> independent calculations (2</w:t>
      </w:r>
      <w:r>
        <w:rPr>
          <w:bCs/>
        </w:rPr>
        <w:t>40</w:t>
      </w:r>
      <w:r w:rsidRPr="00F0252E">
        <w:rPr>
          <w:bCs/>
        </w:rPr>
        <w:t>*37)</w:t>
      </w:r>
    </w:p>
    <w:p w14:paraId="00C2AED8" w14:textId="54F25546" w:rsidR="00113841" w:rsidRDefault="00F1250A" w:rsidP="00F0252E">
      <w:pPr>
        <w:rPr>
          <w:bCs/>
        </w:rPr>
      </w:pPr>
      <w:r>
        <w:rPr>
          <w:bCs/>
        </w:rPr>
        <w:t>To illustrate the outcome using a graph from Tobais Adrian “Vulnerable Growth”, the visualization for the US economy is as follows:</w:t>
      </w:r>
    </w:p>
    <w:p w14:paraId="7DA44DC6" w14:textId="1BDC9CFC" w:rsidR="00F1250A" w:rsidRPr="00F0252E" w:rsidRDefault="00F1250A" w:rsidP="00F0252E">
      <w:pPr>
        <w:rPr>
          <w:bCs/>
        </w:rPr>
      </w:pPr>
      <w:r>
        <w:rPr>
          <w:noProof/>
        </w:rPr>
        <w:lastRenderedPageBreak/>
        <w:drawing>
          <wp:inline distT="0" distB="0" distL="0" distR="0" wp14:anchorId="797F4231" wp14:editId="561075B5">
            <wp:extent cx="4264762" cy="2699193"/>
            <wp:effectExtent l="0" t="0" r="2540" b="6350"/>
            <wp:docPr id="4497412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4126" name="Picture 1" descr="A graph of a graph&#10;&#10;Description automatically generated"/>
                    <pic:cNvPicPr/>
                  </pic:nvPicPr>
                  <pic:blipFill>
                    <a:blip r:embed="rId19"/>
                    <a:stretch>
                      <a:fillRect/>
                    </a:stretch>
                  </pic:blipFill>
                  <pic:spPr>
                    <a:xfrm>
                      <a:off x="0" y="0"/>
                      <a:ext cx="4279089" cy="2708260"/>
                    </a:xfrm>
                    <a:prstGeom prst="rect">
                      <a:avLst/>
                    </a:prstGeom>
                  </pic:spPr>
                </pic:pic>
              </a:graphicData>
            </a:graphic>
          </wp:inline>
        </w:drawing>
      </w:r>
    </w:p>
    <w:p w14:paraId="339612B3" w14:textId="6A0B0C29" w:rsidR="000E5643" w:rsidRDefault="00F45B0F" w:rsidP="000E5643">
      <w:pPr>
        <w:pStyle w:val="Heading2"/>
        <w:rPr>
          <w:bCs/>
        </w:rPr>
      </w:pPr>
      <w:r>
        <w:rPr>
          <w:bCs/>
        </w:rPr>
        <w:t xml:space="preserve">Has anyone else ever done research </w:t>
      </w:r>
      <w:proofErr w:type="gramStart"/>
      <w:r>
        <w:rPr>
          <w:bCs/>
        </w:rPr>
        <w:t>exactly the same</w:t>
      </w:r>
      <w:proofErr w:type="gramEnd"/>
      <w:r>
        <w:rPr>
          <w:bCs/>
        </w:rPr>
        <w:t>?  Is there related research?</w:t>
      </w:r>
      <w:r w:rsidR="008A1A46" w:rsidRPr="008A1A46">
        <w:rPr>
          <w:bCs/>
        </w:rPr>
        <w:t xml:space="preserve"> </w:t>
      </w:r>
      <w:r w:rsidR="008A1A46">
        <w:rPr>
          <w:bCs/>
        </w:rPr>
        <w:t>Where does your work fit in with what has gone before?</w:t>
      </w:r>
    </w:p>
    <w:p w14:paraId="21769002" w14:textId="2D519D36" w:rsidR="001573F0" w:rsidRPr="001573F0" w:rsidRDefault="00F245E8" w:rsidP="001573F0">
      <w:pPr>
        <w:spacing w:after="0"/>
        <w:rPr>
          <w:rFonts w:ascii="Times New Roman" w:hAnsi="Times New Roman" w:cs="Times New Roman"/>
          <w:sz w:val="24"/>
          <w:lang w:val="en-US"/>
        </w:rPr>
      </w:pPr>
      <w:r>
        <w:t xml:space="preserve">The </w:t>
      </w:r>
      <w:proofErr w:type="spellStart"/>
      <w:r>
        <w:t>GaR</w:t>
      </w:r>
      <w:proofErr w:type="spellEnd"/>
      <w:r>
        <w:t xml:space="preserve"> approach is a recent innovation that is used by the IMF and is referred to most of its Global Financial Stability Reports. </w:t>
      </w:r>
      <w:bookmarkStart w:id="1" w:name="_Hlk148217459"/>
      <w:r w:rsidR="001573F0" w:rsidRPr="001573F0">
        <w:t xml:space="preserve">The seminal publication laying out the model for </w:t>
      </w:r>
      <w:proofErr w:type="spellStart"/>
      <w:r w:rsidR="001573F0" w:rsidRPr="001573F0">
        <w:t>GaR</w:t>
      </w:r>
      <w:proofErr w:type="spellEnd"/>
      <w:r w:rsidR="001573F0" w:rsidRPr="001573F0">
        <w:t xml:space="preserve"> is:</w:t>
      </w:r>
      <w:r w:rsidR="001573F0" w:rsidRPr="001573F0">
        <w:rPr>
          <w:rFonts w:ascii="Times New Roman" w:hAnsi="Times New Roman" w:cs="Times New Roman"/>
          <w:sz w:val="24"/>
          <w:lang w:val="en-US"/>
        </w:rPr>
        <w:t xml:space="preserve"> </w:t>
      </w:r>
    </w:p>
    <w:p w14:paraId="7B4AD84A" w14:textId="6B9F366D" w:rsidR="001573F0" w:rsidRDefault="001573F0" w:rsidP="000E5643">
      <w:pPr>
        <w:pStyle w:val="ListParagraph"/>
        <w:numPr>
          <w:ilvl w:val="1"/>
          <w:numId w:val="13"/>
        </w:numPr>
        <w:spacing w:after="0"/>
      </w:pPr>
      <w:r w:rsidRPr="001573F0">
        <w:t>Tobias Adrian, “Vulnerable Growth”, Federal Reserve Bank of New York, Staff Report No. 794, September 2016, Revised November 2017</w:t>
      </w:r>
      <w:bookmarkEnd w:id="1"/>
    </w:p>
    <w:p w14:paraId="23765B0D" w14:textId="77777777" w:rsidR="008A1A46" w:rsidRDefault="008A1A46" w:rsidP="008A1A46">
      <w:pPr>
        <w:pStyle w:val="ListParagraph"/>
        <w:spacing w:after="0"/>
        <w:ind w:left="1080"/>
      </w:pPr>
    </w:p>
    <w:p w14:paraId="1F5823D6" w14:textId="52059824" w:rsidR="000E5643" w:rsidRDefault="00F245E8" w:rsidP="000E5643">
      <w:r>
        <w:t xml:space="preserve"> </w:t>
      </w:r>
      <w:r w:rsidR="00E648D1">
        <w:t>In this project, i</w:t>
      </w:r>
      <w:r w:rsidR="001573F0">
        <w:t xml:space="preserve">mportant differences with the IMF’s approach are as follows: </w:t>
      </w:r>
    </w:p>
    <w:p w14:paraId="2C4EAD7C" w14:textId="0DCA11EF" w:rsidR="008A1A46" w:rsidRDefault="00E648D1" w:rsidP="001573F0">
      <w:pPr>
        <w:pStyle w:val="ListParagraph"/>
        <w:numPr>
          <w:ilvl w:val="0"/>
          <w:numId w:val="17"/>
        </w:numPr>
      </w:pPr>
      <w:r>
        <w:t>T</w:t>
      </w:r>
      <w:r w:rsidR="001573F0">
        <w:t xml:space="preserve">he </w:t>
      </w:r>
      <w:proofErr w:type="spellStart"/>
      <w:r w:rsidR="001573F0">
        <w:t>GaR</w:t>
      </w:r>
      <w:proofErr w:type="spellEnd"/>
      <w:r w:rsidR="008E71AE">
        <w:t xml:space="preserve"> concept</w:t>
      </w:r>
      <w:r w:rsidR="001573F0">
        <w:t xml:space="preserve"> is applied to Canada, which has not been done to my </w:t>
      </w:r>
      <w:proofErr w:type="gramStart"/>
      <w:r w:rsidR="001573F0">
        <w:t>knowledge</w:t>
      </w:r>
      <w:proofErr w:type="gramEnd"/>
    </w:p>
    <w:p w14:paraId="4305950B" w14:textId="67974DE7" w:rsidR="000E5643" w:rsidRDefault="008A1A46" w:rsidP="00FF768B">
      <w:pPr>
        <w:pStyle w:val="ListParagraph"/>
        <w:numPr>
          <w:ilvl w:val="0"/>
          <w:numId w:val="17"/>
        </w:numPr>
      </w:pPr>
      <w:r>
        <w:t xml:space="preserve">While the IMF uses a broad financial conditions index (FCI) as the indicator value, such an index is not publicly available for Canada to my knowledge. The approach suggested here is to use total credit to the Canadian economy as the indicator variable. It is well-established in economics that future GDP growth </w:t>
      </w:r>
      <w:r w:rsidR="00E648D1">
        <w:t>is dependent</w:t>
      </w:r>
      <w:r>
        <w:t xml:space="preserve"> on the flow of credit</w:t>
      </w:r>
      <w:r w:rsidR="00E648D1">
        <w:t xml:space="preserve"> to the economy</w:t>
      </w:r>
      <w:r>
        <w:t>.  Also</w:t>
      </w:r>
      <w:r w:rsidR="008E71AE">
        <w:t>,</w:t>
      </w:r>
      <w:r>
        <w:t xml:space="preserve"> the Brookings paper on Growth-at-Risk suggests </w:t>
      </w:r>
      <w:r w:rsidR="00E648D1">
        <w:t xml:space="preserve">that </w:t>
      </w:r>
      <w:r>
        <w:t>total credit</w:t>
      </w:r>
      <w:r w:rsidR="008E71AE">
        <w:t xml:space="preserve"> </w:t>
      </w:r>
      <w:r w:rsidR="00E648D1">
        <w:t>would be</w:t>
      </w:r>
      <w:r w:rsidR="008E71AE">
        <w:t xml:space="preserve"> a suitable indicator variable</w:t>
      </w:r>
      <w:r>
        <w:t xml:space="preserve">. Total credit is publicly available.  </w:t>
      </w:r>
    </w:p>
    <w:p w14:paraId="1951F962" w14:textId="1522F155" w:rsidR="00F45B0F" w:rsidRPr="00FF768B" w:rsidRDefault="008A1A46" w:rsidP="00F45B0F">
      <w:pPr>
        <w:pStyle w:val="ListParagraph"/>
        <w:numPr>
          <w:ilvl w:val="0"/>
          <w:numId w:val="17"/>
        </w:numPr>
      </w:pPr>
      <w:r>
        <w:t xml:space="preserve">Compared to Tobias Adiran’s paper “Vulnerable Growth”, this </w:t>
      </w:r>
      <w:r w:rsidR="009A5D35">
        <w:t xml:space="preserve">project would likely count as a simplified version of </w:t>
      </w:r>
      <w:proofErr w:type="spellStart"/>
      <w:r w:rsidR="009A5D35">
        <w:t>GaR</w:t>
      </w:r>
      <w:proofErr w:type="spellEnd"/>
      <w:r>
        <w:t xml:space="preserve">.   </w:t>
      </w:r>
    </w:p>
    <w:p w14:paraId="57F72CFE" w14:textId="77777777" w:rsidR="000E5643" w:rsidRDefault="000E5643" w:rsidP="00FF768B">
      <w:pPr>
        <w:pStyle w:val="NoSpacing"/>
      </w:pPr>
    </w:p>
    <w:p w14:paraId="48E41464" w14:textId="6B9F9564" w:rsidR="000E5643" w:rsidRDefault="002D2DB9" w:rsidP="002D2DB9">
      <w:pPr>
        <w:pStyle w:val="Heading1"/>
      </w:pPr>
      <w:r>
        <w:t xml:space="preserve">3. </w:t>
      </w:r>
      <w:r w:rsidR="000E5643">
        <w:t>Searching the literature</w:t>
      </w:r>
    </w:p>
    <w:p w14:paraId="68C4FDB9" w14:textId="04CD7CD7" w:rsidR="003D1C5F" w:rsidRDefault="00536ED7" w:rsidP="000E5643">
      <w:r>
        <w:t xml:space="preserve">Growth-at-risk </w:t>
      </w:r>
      <w:r w:rsidR="003D1C5F">
        <w:t xml:space="preserve">is a relatively recent </w:t>
      </w:r>
      <w:proofErr w:type="gramStart"/>
      <w:r w:rsidR="002D2DB9">
        <w:t>filed</w:t>
      </w:r>
      <w:proofErr w:type="gramEnd"/>
      <w:r w:rsidR="003D1C5F">
        <w:t xml:space="preserve"> but it is </w:t>
      </w:r>
      <w:r w:rsidR="00414792">
        <w:t xml:space="preserve">already </w:t>
      </w:r>
      <w:r w:rsidR="003D1C5F">
        <w:t xml:space="preserve">reasonably well documented and consistently used by the IMF. Important publications </w:t>
      </w:r>
      <w:r w:rsidR="00414792">
        <w:t xml:space="preserve">that </w:t>
      </w:r>
      <w:r w:rsidR="003D1C5F">
        <w:t xml:space="preserve">provide a full conceptual understanding of the idea and approach </w:t>
      </w:r>
      <w:r w:rsidR="00414792">
        <w:t>include</w:t>
      </w:r>
      <w:r w:rsidR="003D1C5F">
        <w:t xml:space="preserve">: </w:t>
      </w:r>
    </w:p>
    <w:p w14:paraId="60F2F5C5" w14:textId="77777777" w:rsidR="00D24BE7" w:rsidRDefault="00D24BE7" w:rsidP="00D24BE7">
      <w:pPr>
        <w:pStyle w:val="ListParagraph"/>
        <w:spacing w:after="0"/>
        <w:ind w:left="1080"/>
      </w:pPr>
    </w:p>
    <w:p w14:paraId="054B31D5" w14:textId="364B5E62" w:rsidR="003D1C5F" w:rsidRDefault="003D1C5F" w:rsidP="003D1C5F">
      <w:pPr>
        <w:pStyle w:val="ListParagraph"/>
        <w:numPr>
          <w:ilvl w:val="0"/>
          <w:numId w:val="19"/>
        </w:numPr>
      </w:pPr>
      <w:r w:rsidRPr="003D1C5F">
        <w:t>Tobias Adrian,</w:t>
      </w:r>
      <w:r w:rsidR="00DB638D">
        <w:t xml:space="preserve"> et al.,</w:t>
      </w:r>
      <w:r w:rsidRPr="003D1C5F">
        <w:t xml:space="preserve"> “Vulnerable Growth”, Federal Reserve Bank of New York, Staff Report No. 794, September 2016, Revised November 2017</w:t>
      </w:r>
    </w:p>
    <w:p w14:paraId="4A605F46" w14:textId="2164D326" w:rsidR="007C2A10" w:rsidRDefault="007C2A10" w:rsidP="007C2A10">
      <w:pPr>
        <w:pStyle w:val="ListParagraph"/>
        <w:numPr>
          <w:ilvl w:val="1"/>
          <w:numId w:val="13"/>
        </w:numPr>
        <w:spacing w:after="0"/>
        <w:rPr>
          <w:sz w:val="20"/>
          <w:szCs w:val="20"/>
        </w:rPr>
      </w:pPr>
      <w:r w:rsidRPr="007C2A10">
        <w:rPr>
          <w:sz w:val="20"/>
          <w:szCs w:val="20"/>
        </w:rPr>
        <w:t xml:space="preserve">Economic forecasts usually provide point estimates for the conditional mean of GDP </w:t>
      </w:r>
      <w:proofErr w:type="gramStart"/>
      <w:r w:rsidRPr="007C2A10">
        <w:rPr>
          <w:sz w:val="20"/>
          <w:szCs w:val="20"/>
        </w:rPr>
        <w:t>growth</w:t>
      </w:r>
      <w:proofErr w:type="gramEnd"/>
    </w:p>
    <w:p w14:paraId="7F79FAFA" w14:textId="34052CA7" w:rsidR="007C2A10" w:rsidRDefault="007C2A10" w:rsidP="007C2A10">
      <w:pPr>
        <w:pStyle w:val="ListParagraph"/>
        <w:numPr>
          <w:ilvl w:val="1"/>
          <w:numId w:val="13"/>
        </w:numPr>
        <w:spacing w:after="0"/>
        <w:rPr>
          <w:sz w:val="20"/>
          <w:szCs w:val="20"/>
        </w:rPr>
      </w:pPr>
      <w:proofErr w:type="spellStart"/>
      <w:r>
        <w:rPr>
          <w:sz w:val="20"/>
          <w:szCs w:val="20"/>
        </w:rPr>
        <w:t>GaR</w:t>
      </w:r>
      <w:proofErr w:type="spellEnd"/>
      <w:r>
        <w:rPr>
          <w:sz w:val="20"/>
          <w:szCs w:val="20"/>
        </w:rPr>
        <w:t xml:space="preserve"> </w:t>
      </w:r>
      <w:r w:rsidRPr="007C2A10">
        <w:rPr>
          <w:sz w:val="20"/>
          <w:szCs w:val="20"/>
        </w:rPr>
        <w:t>model</w:t>
      </w:r>
      <w:r>
        <w:rPr>
          <w:sz w:val="20"/>
          <w:szCs w:val="20"/>
        </w:rPr>
        <w:t>s</w:t>
      </w:r>
      <w:r w:rsidRPr="007C2A10">
        <w:rPr>
          <w:sz w:val="20"/>
          <w:szCs w:val="20"/>
        </w:rPr>
        <w:t xml:space="preserve"> the full distribution of future real GDP growth as a function of current financial and economic condition</w:t>
      </w:r>
      <w:r>
        <w:rPr>
          <w:sz w:val="20"/>
          <w:szCs w:val="20"/>
        </w:rPr>
        <w:t>s</w:t>
      </w:r>
      <w:r w:rsidRPr="007C2A10">
        <w:rPr>
          <w:sz w:val="20"/>
          <w:szCs w:val="20"/>
        </w:rPr>
        <w:t xml:space="preserve"> using quantile </w:t>
      </w:r>
      <w:proofErr w:type="gramStart"/>
      <w:r w:rsidRPr="007C2A10">
        <w:rPr>
          <w:sz w:val="20"/>
          <w:szCs w:val="20"/>
        </w:rPr>
        <w:t>regressions</w:t>
      </w:r>
      <w:proofErr w:type="gramEnd"/>
    </w:p>
    <w:p w14:paraId="377EF717" w14:textId="116A2BBF" w:rsidR="007C2A10" w:rsidRDefault="009A5D35" w:rsidP="007C2A10">
      <w:pPr>
        <w:pStyle w:val="ListParagraph"/>
        <w:numPr>
          <w:ilvl w:val="1"/>
          <w:numId w:val="13"/>
        </w:numPr>
        <w:spacing w:after="0"/>
        <w:rPr>
          <w:sz w:val="20"/>
          <w:szCs w:val="20"/>
        </w:rPr>
      </w:pPr>
      <w:r>
        <w:rPr>
          <w:sz w:val="20"/>
          <w:szCs w:val="20"/>
        </w:rPr>
        <w:t xml:space="preserve">Once empirical </w:t>
      </w:r>
      <w:r w:rsidR="007C2A10" w:rsidRPr="007C2A10">
        <w:rPr>
          <w:sz w:val="20"/>
          <w:szCs w:val="20"/>
        </w:rPr>
        <w:t>estimate</w:t>
      </w:r>
      <w:r>
        <w:rPr>
          <w:sz w:val="20"/>
          <w:szCs w:val="20"/>
        </w:rPr>
        <w:t xml:space="preserve">s of </w:t>
      </w:r>
      <w:r w:rsidR="00F0252E">
        <w:rPr>
          <w:sz w:val="20"/>
          <w:szCs w:val="20"/>
        </w:rPr>
        <w:t xml:space="preserve">the </w:t>
      </w:r>
      <w:r w:rsidR="007C2A10" w:rsidRPr="007C2A10">
        <w:rPr>
          <w:sz w:val="20"/>
          <w:szCs w:val="20"/>
        </w:rPr>
        <w:t>quantile</w:t>
      </w:r>
      <w:r>
        <w:rPr>
          <w:sz w:val="20"/>
          <w:szCs w:val="20"/>
        </w:rPr>
        <w:t>s have been obtained, a</w:t>
      </w:r>
      <w:r w:rsidR="007C2A10" w:rsidRPr="007C2A10">
        <w:rPr>
          <w:sz w:val="20"/>
          <w:szCs w:val="20"/>
        </w:rPr>
        <w:t xml:space="preserve"> distribution </w:t>
      </w:r>
      <w:r>
        <w:rPr>
          <w:sz w:val="20"/>
          <w:szCs w:val="20"/>
        </w:rPr>
        <w:t xml:space="preserve">can be drawn by </w:t>
      </w:r>
      <w:r w:rsidR="007C2A10" w:rsidRPr="007C2A10">
        <w:rPr>
          <w:sz w:val="20"/>
          <w:szCs w:val="20"/>
        </w:rPr>
        <w:t>interpolating between the estimated quantiles</w:t>
      </w:r>
      <w:r>
        <w:rPr>
          <w:sz w:val="20"/>
          <w:szCs w:val="20"/>
        </w:rPr>
        <w:t>.  In addition, a</w:t>
      </w:r>
      <w:r w:rsidR="007C2A10" w:rsidRPr="007C2A10">
        <w:rPr>
          <w:sz w:val="20"/>
          <w:szCs w:val="20"/>
        </w:rPr>
        <w:t xml:space="preserve"> skewed t-distribution</w:t>
      </w:r>
      <w:r>
        <w:rPr>
          <w:sz w:val="20"/>
          <w:szCs w:val="20"/>
        </w:rPr>
        <w:t xml:space="preserve"> (</w:t>
      </w:r>
      <w:r w:rsidRPr="007C2A10">
        <w:rPr>
          <w:sz w:val="20"/>
          <w:szCs w:val="20"/>
        </w:rPr>
        <w:t>a flexible distribution function with four parameters</w:t>
      </w:r>
      <w:r>
        <w:rPr>
          <w:sz w:val="20"/>
          <w:szCs w:val="20"/>
        </w:rPr>
        <w:t>) could be fitted to the quantile estimates</w:t>
      </w:r>
      <w:r w:rsidR="007C2A10" w:rsidRPr="007C2A10">
        <w:rPr>
          <w:sz w:val="20"/>
          <w:szCs w:val="20"/>
        </w:rPr>
        <w:t xml:space="preserve">. This allows </w:t>
      </w:r>
      <w:r w:rsidR="00414792">
        <w:rPr>
          <w:sz w:val="20"/>
          <w:szCs w:val="20"/>
        </w:rPr>
        <w:t xml:space="preserve">the </w:t>
      </w:r>
      <w:proofErr w:type="spellStart"/>
      <w:r w:rsidR="00414792">
        <w:rPr>
          <w:sz w:val="20"/>
          <w:szCs w:val="20"/>
        </w:rPr>
        <w:t>GaR</w:t>
      </w:r>
      <w:proofErr w:type="spellEnd"/>
      <w:r w:rsidR="00414792">
        <w:rPr>
          <w:sz w:val="20"/>
          <w:szCs w:val="20"/>
        </w:rPr>
        <w:t xml:space="preserve"> model </w:t>
      </w:r>
      <w:r w:rsidR="007C2A10" w:rsidRPr="007C2A10">
        <w:rPr>
          <w:sz w:val="20"/>
          <w:szCs w:val="20"/>
        </w:rPr>
        <w:t>to transform the empirical quantile distribution into an estimated conditional distribution of GDP growth</w:t>
      </w:r>
      <w:r w:rsidR="007C2A10">
        <w:rPr>
          <w:sz w:val="20"/>
          <w:szCs w:val="20"/>
        </w:rPr>
        <w:t xml:space="preserve">.  </w:t>
      </w:r>
    </w:p>
    <w:p w14:paraId="392E2A4E" w14:textId="4B878204" w:rsidR="0085190B" w:rsidRPr="007C2A10" w:rsidRDefault="0085190B" w:rsidP="00414792">
      <w:pPr>
        <w:pStyle w:val="ListParagraph"/>
        <w:numPr>
          <w:ilvl w:val="2"/>
          <w:numId w:val="13"/>
        </w:numPr>
        <w:spacing w:after="0"/>
        <w:rPr>
          <w:sz w:val="20"/>
          <w:szCs w:val="20"/>
        </w:rPr>
      </w:pPr>
      <w:r w:rsidRPr="0085190B">
        <w:rPr>
          <w:sz w:val="20"/>
          <w:szCs w:val="20"/>
        </w:rPr>
        <w:t>The procedure is computationally straightforward and transform</w:t>
      </w:r>
      <w:r>
        <w:rPr>
          <w:sz w:val="20"/>
          <w:szCs w:val="20"/>
        </w:rPr>
        <w:t>s</w:t>
      </w:r>
      <w:r w:rsidRPr="0085190B">
        <w:rPr>
          <w:sz w:val="20"/>
          <w:szCs w:val="20"/>
        </w:rPr>
        <w:t xml:space="preserve"> the inverse cumulative distribution function from the quantile regression into a density function</w:t>
      </w:r>
      <w:r>
        <w:rPr>
          <w:sz w:val="20"/>
          <w:szCs w:val="20"/>
        </w:rPr>
        <w:t>.</w:t>
      </w:r>
    </w:p>
    <w:p w14:paraId="74F7742C" w14:textId="77777777" w:rsidR="003D1C5F" w:rsidRDefault="003D1C5F" w:rsidP="003D1C5F">
      <w:pPr>
        <w:pStyle w:val="ListParagraph"/>
      </w:pPr>
    </w:p>
    <w:p w14:paraId="5BDDC6C4" w14:textId="77777777" w:rsidR="00414792" w:rsidRDefault="00414792" w:rsidP="00414792">
      <w:pPr>
        <w:pStyle w:val="ListParagraph"/>
        <w:numPr>
          <w:ilvl w:val="0"/>
          <w:numId w:val="19"/>
        </w:numPr>
      </w:pPr>
      <w:r w:rsidRPr="00D24BE7">
        <w:t>George Cooper, “The Origin of Financial Crises: Central Banks, Credit Bubbles and the Efficient Market Fallacy”</w:t>
      </w:r>
      <w:r>
        <w:t>, 2012</w:t>
      </w:r>
    </w:p>
    <w:p w14:paraId="661F235E" w14:textId="77777777" w:rsidR="00414792" w:rsidRPr="00D24BE7" w:rsidRDefault="00414792" w:rsidP="00414792">
      <w:pPr>
        <w:pStyle w:val="ListParagraph"/>
        <w:numPr>
          <w:ilvl w:val="1"/>
          <w:numId w:val="13"/>
        </w:numPr>
        <w:spacing w:after="0"/>
        <w:rPr>
          <w:sz w:val="20"/>
          <w:szCs w:val="20"/>
        </w:rPr>
      </w:pPr>
      <w:r w:rsidRPr="00D24BE7">
        <w:rPr>
          <w:sz w:val="20"/>
          <w:szCs w:val="20"/>
        </w:rPr>
        <w:t xml:space="preserve">Argues that the flow of credit gives rise to the boom-bust </w:t>
      </w:r>
      <w:proofErr w:type="gramStart"/>
      <w:r w:rsidRPr="00D24BE7">
        <w:rPr>
          <w:sz w:val="20"/>
          <w:szCs w:val="20"/>
        </w:rPr>
        <w:t>cycle</w:t>
      </w:r>
      <w:proofErr w:type="gramEnd"/>
    </w:p>
    <w:p w14:paraId="539CC901" w14:textId="77777777" w:rsidR="00414792" w:rsidRPr="00D24BE7" w:rsidRDefault="00414792" w:rsidP="00414792">
      <w:pPr>
        <w:pStyle w:val="ListParagraph"/>
        <w:numPr>
          <w:ilvl w:val="2"/>
          <w:numId w:val="13"/>
        </w:numPr>
        <w:spacing w:after="0"/>
        <w:rPr>
          <w:sz w:val="20"/>
          <w:szCs w:val="20"/>
        </w:rPr>
      </w:pPr>
      <w:r w:rsidRPr="00D24BE7">
        <w:rPr>
          <w:sz w:val="20"/>
          <w:szCs w:val="20"/>
        </w:rPr>
        <w:t xml:space="preserve">This is the foundation of the approach adopted in this </w:t>
      </w:r>
      <w:proofErr w:type="gramStart"/>
      <w:r w:rsidRPr="00D24BE7">
        <w:rPr>
          <w:sz w:val="20"/>
          <w:szCs w:val="20"/>
        </w:rPr>
        <w:t>project</w:t>
      </w:r>
      <w:proofErr w:type="gramEnd"/>
      <w:r w:rsidRPr="00D24BE7">
        <w:rPr>
          <w:sz w:val="20"/>
          <w:szCs w:val="20"/>
        </w:rPr>
        <w:t xml:space="preserve"> </w:t>
      </w:r>
    </w:p>
    <w:p w14:paraId="40D80EDE" w14:textId="691001C6" w:rsidR="00414792" w:rsidRDefault="00414792" w:rsidP="00414792">
      <w:pPr>
        <w:pStyle w:val="ListParagraph"/>
        <w:numPr>
          <w:ilvl w:val="2"/>
          <w:numId w:val="13"/>
        </w:numPr>
        <w:spacing w:after="0"/>
        <w:rPr>
          <w:sz w:val="20"/>
          <w:szCs w:val="20"/>
        </w:rPr>
      </w:pPr>
      <w:r w:rsidRPr="00D24BE7">
        <w:rPr>
          <w:sz w:val="20"/>
          <w:szCs w:val="20"/>
        </w:rPr>
        <w:t xml:space="preserve">We will use the flow of credit </w:t>
      </w:r>
      <w:r>
        <w:rPr>
          <w:sz w:val="20"/>
          <w:szCs w:val="20"/>
        </w:rPr>
        <w:t xml:space="preserve">as the forward-looking indicator variable </w:t>
      </w:r>
      <w:r w:rsidRPr="00D24BE7">
        <w:rPr>
          <w:sz w:val="20"/>
          <w:szCs w:val="20"/>
        </w:rPr>
        <w:t xml:space="preserve">to estimate future distributions of GDP </w:t>
      </w:r>
      <w:proofErr w:type="gramStart"/>
      <w:r w:rsidRPr="00D24BE7">
        <w:rPr>
          <w:sz w:val="20"/>
          <w:szCs w:val="20"/>
        </w:rPr>
        <w:t>growth</w:t>
      </w:r>
      <w:proofErr w:type="gramEnd"/>
      <w:r w:rsidRPr="00D24BE7">
        <w:rPr>
          <w:sz w:val="20"/>
          <w:szCs w:val="20"/>
        </w:rPr>
        <w:t xml:space="preserve"> </w:t>
      </w:r>
    </w:p>
    <w:p w14:paraId="76112070" w14:textId="77777777" w:rsidR="00414792" w:rsidRPr="00D24BE7" w:rsidRDefault="00414792" w:rsidP="00414792">
      <w:pPr>
        <w:pStyle w:val="ListParagraph"/>
        <w:spacing w:after="0"/>
        <w:ind w:left="1980"/>
        <w:rPr>
          <w:sz w:val="20"/>
          <w:szCs w:val="20"/>
        </w:rPr>
      </w:pPr>
    </w:p>
    <w:p w14:paraId="6CD97F66" w14:textId="1452EBEC" w:rsidR="007C2A10" w:rsidRDefault="00DB638D" w:rsidP="007C2A10">
      <w:pPr>
        <w:pStyle w:val="ListParagraph"/>
        <w:numPr>
          <w:ilvl w:val="0"/>
          <w:numId w:val="19"/>
        </w:numPr>
      </w:pPr>
      <w:r>
        <w:t xml:space="preserve">Ananthakrishnan Prasad, et al., </w:t>
      </w:r>
      <w:r w:rsidR="003D1C5F">
        <w:t>IMF Working Paper</w:t>
      </w:r>
      <w:r>
        <w:t>,</w:t>
      </w:r>
      <w:r w:rsidR="003D1C5F">
        <w:t xml:space="preserve"> </w:t>
      </w:r>
      <w:r>
        <w:t>“</w:t>
      </w:r>
      <w:r w:rsidR="003D1C5F">
        <w:t>Growth at Risk: Concept and Application in IMF Country Surveillance</w:t>
      </w:r>
      <w:r>
        <w:t>”, February 2019</w:t>
      </w:r>
    </w:p>
    <w:p w14:paraId="688FF6BC" w14:textId="1513B708" w:rsidR="007C2A10" w:rsidRDefault="007C2A10" w:rsidP="007C2A10">
      <w:pPr>
        <w:pStyle w:val="ListParagraph"/>
        <w:numPr>
          <w:ilvl w:val="1"/>
          <w:numId w:val="13"/>
        </w:numPr>
        <w:spacing w:after="0"/>
        <w:rPr>
          <w:sz w:val="20"/>
          <w:szCs w:val="20"/>
        </w:rPr>
      </w:pPr>
      <w:r w:rsidRPr="007C2A10">
        <w:rPr>
          <w:sz w:val="20"/>
          <w:szCs w:val="20"/>
        </w:rPr>
        <w:t xml:space="preserve">Explains </w:t>
      </w:r>
      <w:r>
        <w:rPr>
          <w:sz w:val="20"/>
          <w:szCs w:val="20"/>
        </w:rPr>
        <w:t xml:space="preserve">how the IMF uses </w:t>
      </w:r>
      <w:proofErr w:type="spellStart"/>
      <w:r>
        <w:rPr>
          <w:sz w:val="20"/>
          <w:szCs w:val="20"/>
        </w:rPr>
        <w:t>GaR</w:t>
      </w:r>
      <w:proofErr w:type="spellEnd"/>
      <w:r>
        <w:rPr>
          <w:sz w:val="20"/>
          <w:szCs w:val="20"/>
        </w:rPr>
        <w:t xml:space="preserve"> for</w:t>
      </w:r>
      <w:r w:rsidRPr="007C2A10">
        <w:rPr>
          <w:sz w:val="20"/>
          <w:szCs w:val="20"/>
        </w:rPr>
        <w:t xml:space="preserve"> tracking the evolution of financial conditions and macro</w:t>
      </w:r>
      <w:r>
        <w:rPr>
          <w:sz w:val="20"/>
          <w:szCs w:val="20"/>
        </w:rPr>
        <w:t>-</w:t>
      </w:r>
      <w:r w:rsidRPr="007C2A10">
        <w:rPr>
          <w:sz w:val="20"/>
          <w:szCs w:val="20"/>
        </w:rPr>
        <w:t xml:space="preserve">financial </w:t>
      </w:r>
      <w:proofErr w:type="gramStart"/>
      <w:r w:rsidRPr="007C2A10">
        <w:rPr>
          <w:sz w:val="20"/>
          <w:szCs w:val="20"/>
        </w:rPr>
        <w:t>vulnerabilities</w:t>
      </w:r>
      <w:proofErr w:type="gramEnd"/>
    </w:p>
    <w:p w14:paraId="3C503A4D" w14:textId="147985EE" w:rsidR="007C2A10" w:rsidRDefault="007C2A10" w:rsidP="007C2A10">
      <w:pPr>
        <w:pStyle w:val="ListParagraph"/>
        <w:numPr>
          <w:ilvl w:val="1"/>
          <w:numId w:val="13"/>
        </w:numPr>
        <w:spacing w:after="0"/>
        <w:rPr>
          <w:sz w:val="20"/>
          <w:szCs w:val="20"/>
        </w:rPr>
      </w:pPr>
      <w:r>
        <w:rPr>
          <w:sz w:val="20"/>
          <w:szCs w:val="20"/>
        </w:rPr>
        <w:t>This can</w:t>
      </w:r>
      <w:r w:rsidRPr="007C2A10">
        <w:rPr>
          <w:sz w:val="20"/>
          <w:szCs w:val="20"/>
        </w:rPr>
        <w:t xml:space="preserve"> provide valuable information for policymakers regarding risks to future growth and, hence form a basis for targeted pre</w:t>
      </w:r>
      <w:r>
        <w:rPr>
          <w:sz w:val="20"/>
          <w:szCs w:val="20"/>
        </w:rPr>
        <w:t>-</w:t>
      </w:r>
      <w:r w:rsidRPr="007C2A10">
        <w:rPr>
          <w:sz w:val="20"/>
          <w:szCs w:val="20"/>
        </w:rPr>
        <w:t xml:space="preserve">emptive </w:t>
      </w:r>
      <w:proofErr w:type="gramStart"/>
      <w:r w:rsidRPr="007C2A10">
        <w:rPr>
          <w:sz w:val="20"/>
          <w:szCs w:val="20"/>
        </w:rPr>
        <w:t>action</w:t>
      </w:r>
      <w:proofErr w:type="gramEnd"/>
    </w:p>
    <w:p w14:paraId="2534C381" w14:textId="78445A93" w:rsidR="007C2A10" w:rsidRDefault="007C2A10" w:rsidP="007C2A10">
      <w:pPr>
        <w:pStyle w:val="ListParagraph"/>
        <w:numPr>
          <w:ilvl w:val="1"/>
          <w:numId w:val="13"/>
        </w:numPr>
        <w:spacing w:after="0"/>
        <w:rPr>
          <w:sz w:val="20"/>
          <w:szCs w:val="20"/>
        </w:rPr>
      </w:pPr>
      <w:proofErr w:type="spellStart"/>
      <w:r w:rsidRPr="007C2A10">
        <w:rPr>
          <w:sz w:val="20"/>
          <w:szCs w:val="20"/>
        </w:rPr>
        <w:t>GaR</w:t>
      </w:r>
      <w:proofErr w:type="spellEnd"/>
      <w:r w:rsidRPr="007C2A10">
        <w:rPr>
          <w:sz w:val="20"/>
          <w:szCs w:val="20"/>
        </w:rPr>
        <w:t xml:space="preserve"> analysis can appreciably expand the </w:t>
      </w:r>
      <w:proofErr w:type="spellStart"/>
      <w:r w:rsidRPr="007C2A10">
        <w:rPr>
          <w:sz w:val="20"/>
          <w:szCs w:val="20"/>
        </w:rPr>
        <w:t>macrofinancial</w:t>
      </w:r>
      <w:proofErr w:type="spellEnd"/>
      <w:r w:rsidRPr="007C2A10">
        <w:rPr>
          <w:sz w:val="20"/>
          <w:szCs w:val="20"/>
        </w:rPr>
        <w:t xml:space="preserve"> surveillance toolkits of </w:t>
      </w:r>
      <w:proofErr w:type="gramStart"/>
      <w:r w:rsidRPr="007C2A10">
        <w:rPr>
          <w:sz w:val="20"/>
          <w:szCs w:val="20"/>
        </w:rPr>
        <w:t>policymakers</w:t>
      </w:r>
      <w:proofErr w:type="gramEnd"/>
    </w:p>
    <w:p w14:paraId="3389FD62" w14:textId="79FF705D" w:rsidR="000E5643" w:rsidRPr="00F744F5" w:rsidRDefault="007C2A10" w:rsidP="00FF768B">
      <w:pPr>
        <w:pStyle w:val="ListParagraph"/>
        <w:numPr>
          <w:ilvl w:val="1"/>
          <w:numId w:val="13"/>
        </w:numPr>
        <w:spacing w:after="0"/>
        <w:rPr>
          <w:sz w:val="20"/>
          <w:szCs w:val="20"/>
        </w:rPr>
      </w:pPr>
      <w:r>
        <w:rPr>
          <w:sz w:val="20"/>
          <w:szCs w:val="20"/>
        </w:rPr>
        <w:t>T</w:t>
      </w:r>
      <w:r w:rsidRPr="007C2A10">
        <w:rPr>
          <w:sz w:val="20"/>
          <w:szCs w:val="20"/>
        </w:rPr>
        <w:t xml:space="preserve">he </w:t>
      </w:r>
      <w:proofErr w:type="spellStart"/>
      <w:r w:rsidRPr="007C2A10">
        <w:rPr>
          <w:sz w:val="20"/>
          <w:szCs w:val="20"/>
        </w:rPr>
        <w:t>GaR</w:t>
      </w:r>
      <w:proofErr w:type="spellEnd"/>
      <w:r w:rsidRPr="007C2A10">
        <w:rPr>
          <w:sz w:val="20"/>
          <w:szCs w:val="20"/>
        </w:rPr>
        <w:t xml:space="preserve"> approach has been incorporated into the International Monetary Fund’s macro</w:t>
      </w:r>
      <w:r>
        <w:rPr>
          <w:sz w:val="20"/>
          <w:szCs w:val="20"/>
        </w:rPr>
        <w:t>-</w:t>
      </w:r>
      <w:r w:rsidRPr="007C2A10">
        <w:rPr>
          <w:sz w:val="20"/>
          <w:szCs w:val="20"/>
        </w:rPr>
        <w:t>financial surveillance toolkit. In the context of multilateral surveillance, the Global Financial Stability Report (GFSR) has explored tail risk to global economic growth based on prevailing global financial conditions</w:t>
      </w:r>
      <w:r>
        <w:rPr>
          <w:sz w:val="20"/>
          <w:szCs w:val="20"/>
        </w:rPr>
        <w:t>.</w:t>
      </w:r>
    </w:p>
    <w:p w14:paraId="24C4290F" w14:textId="77777777" w:rsidR="003E0739" w:rsidRDefault="003E0739" w:rsidP="003E0739">
      <w:pPr>
        <w:pStyle w:val="ListParagraph"/>
      </w:pPr>
    </w:p>
    <w:p w14:paraId="4A11513E" w14:textId="1E99C616" w:rsidR="003E0739" w:rsidRDefault="003E0739" w:rsidP="00D24BE7">
      <w:pPr>
        <w:pStyle w:val="ListParagraph"/>
        <w:numPr>
          <w:ilvl w:val="0"/>
          <w:numId w:val="19"/>
        </w:numPr>
      </w:pPr>
      <w:r>
        <w:t>IMF, “Global Financial Stability Report” October 2017</w:t>
      </w:r>
    </w:p>
    <w:p w14:paraId="0D3780C7" w14:textId="07A737EE" w:rsidR="003E0739" w:rsidRPr="00D24BE7" w:rsidRDefault="003E0739" w:rsidP="003E0739">
      <w:pPr>
        <w:pStyle w:val="ListParagraph"/>
        <w:numPr>
          <w:ilvl w:val="1"/>
          <w:numId w:val="13"/>
        </w:numPr>
        <w:spacing w:after="0"/>
        <w:rPr>
          <w:sz w:val="20"/>
          <w:szCs w:val="20"/>
        </w:rPr>
      </w:pPr>
      <w:r w:rsidRPr="00D24BE7">
        <w:rPr>
          <w:sz w:val="20"/>
          <w:szCs w:val="20"/>
        </w:rPr>
        <w:t xml:space="preserve">Chapter 3, “Financial Conditions and Growth-at-Risk” provides a very accessible overview of the </w:t>
      </w:r>
      <w:proofErr w:type="spellStart"/>
      <w:r w:rsidRPr="00D24BE7">
        <w:rPr>
          <w:sz w:val="20"/>
          <w:szCs w:val="20"/>
        </w:rPr>
        <w:t>GaR</w:t>
      </w:r>
      <w:proofErr w:type="spellEnd"/>
      <w:r w:rsidRPr="00D24BE7">
        <w:rPr>
          <w:sz w:val="20"/>
          <w:szCs w:val="20"/>
        </w:rPr>
        <w:t xml:space="preserve"> model adopted by the </w:t>
      </w:r>
      <w:proofErr w:type="gramStart"/>
      <w:r w:rsidRPr="00D24BE7">
        <w:rPr>
          <w:sz w:val="20"/>
          <w:szCs w:val="20"/>
        </w:rPr>
        <w:t>IMF</w:t>
      </w:r>
      <w:proofErr w:type="gramEnd"/>
    </w:p>
    <w:p w14:paraId="6D3FDC10" w14:textId="398BCCF0" w:rsidR="00D24BE7" w:rsidRDefault="003E0739" w:rsidP="00F744F5">
      <w:pPr>
        <w:pStyle w:val="ListParagraph"/>
        <w:numPr>
          <w:ilvl w:val="1"/>
          <w:numId w:val="13"/>
        </w:numPr>
        <w:spacing w:after="0"/>
        <w:rPr>
          <w:sz w:val="20"/>
          <w:szCs w:val="20"/>
        </w:rPr>
      </w:pPr>
      <w:r w:rsidRPr="00D24BE7">
        <w:rPr>
          <w:sz w:val="20"/>
          <w:szCs w:val="20"/>
        </w:rPr>
        <w:t xml:space="preserve">Argues that financial conditions predict increased downside risks to GDP growth in most advanced economies and a more uncertain growth outlook in emerging markets.  </w:t>
      </w:r>
    </w:p>
    <w:p w14:paraId="4FD93DA0" w14:textId="77777777" w:rsidR="00F744F5" w:rsidRPr="00F744F5" w:rsidRDefault="00F744F5" w:rsidP="00F744F5">
      <w:pPr>
        <w:pStyle w:val="ListParagraph"/>
        <w:spacing w:after="0"/>
        <w:ind w:left="1080"/>
        <w:rPr>
          <w:sz w:val="20"/>
          <w:szCs w:val="20"/>
        </w:rPr>
      </w:pPr>
    </w:p>
    <w:p w14:paraId="045C4978" w14:textId="77777777" w:rsidR="00F744F5" w:rsidRDefault="00F744F5" w:rsidP="00F744F5">
      <w:pPr>
        <w:pStyle w:val="ListParagraph"/>
        <w:numPr>
          <w:ilvl w:val="0"/>
          <w:numId w:val="19"/>
        </w:numPr>
      </w:pPr>
      <w:r>
        <w:t xml:space="preserve">Tobias Adrian, et al., “The Term Structure of Growth-at-Risk,” IMF Working Paper 2018/180. </w:t>
      </w:r>
    </w:p>
    <w:p w14:paraId="637B3292" w14:textId="77777777" w:rsidR="00F744F5" w:rsidRPr="0085190B" w:rsidRDefault="00F744F5" w:rsidP="00F744F5">
      <w:pPr>
        <w:pStyle w:val="ListParagraph"/>
        <w:numPr>
          <w:ilvl w:val="1"/>
          <w:numId w:val="13"/>
        </w:numPr>
        <w:spacing w:after="0"/>
      </w:pPr>
      <w:r w:rsidRPr="0085190B">
        <w:rPr>
          <w:sz w:val="20"/>
          <w:szCs w:val="20"/>
        </w:rPr>
        <w:t xml:space="preserve">Extends </w:t>
      </w:r>
      <w:r>
        <w:rPr>
          <w:sz w:val="20"/>
          <w:szCs w:val="20"/>
        </w:rPr>
        <w:t xml:space="preserve">the </w:t>
      </w:r>
      <w:proofErr w:type="spellStart"/>
      <w:r>
        <w:rPr>
          <w:sz w:val="20"/>
          <w:szCs w:val="20"/>
        </w:rPr>
        <w:t>GaR</w:t>
      </w:r>
      <w:proofErr w:type="spellEnd"/>
      <w:r>
        <w:rPr>
          <w:sz w:val="20"/>
          <w:szCs w:val="20"/>
        </w:rPr>
        <w:t xml:space="preserve"> model into the future by modeling a “term structure” of growth-at-risk.</w:t>
      </w:r>
    </w:p>
    <w:p w14:paraId="084FEACD" w14:textId="77777777" w:rsidR="00F744F5" w:rsidRPr="00F744F5" w:rsidRDefault="00F744F5" w:rsidP="00F744F5">
      <w:pPr>
        <w:pStyle w:val="ListParagraph"/>
        <w:numPr>
          <w:ilvl w:val="1"/>
          <w:numId w:val="13"/>
        </w:numPr>
        <w:spacing w:after="0"/>
      </w:pPr>
      <w:r>
        <w:rPr>
          <w:sz w:val="20"/>
          <w:szCs w:val="20"/>
        </w:rPr>
        <w:t xml:space="preserve">The main idea is that policy makers may reduce the probability of systemic crisis today by intervening with expansionary credit and spending policies to support growth, but this may also increase the future amount of growth that is “at risk”. </w:t>
      </w:r>
    </w:p>
    <w:p w14:paraId="64526C08" w14:textId="77777777" w:rsidR="00F744F5" w:rsidRDefault="00F744F5" w:rsidP="00F744F5">
      <w:pPr>
        <w:pStyle w:val="ListParagraph"/>
        <w:spacing w:after="0"/>
        <w:ind w:left="1080"/>
      </w:pPr>
    </w:p>
    <w:p w14:paraId="47483A3E" w14:textId="304313CF" w:rsidR="003E0739" w:rsidRDefault="00000000" w:rsidP="00DB638D">
      <w:pPr>
        <w:pStyle w:val="ListParagraph"/>
        <w:numPr>
          <w:ilvl w:val="0"/>
          <w:numId w:val="19"/>
        </w:numPr>
      </w:pPr>
      <w:hyperlink r:id="rId20" w:history="1">
        <w:r w:rsidR="00414792" w:rsidRPr="00F245E8">
          <w:t>Nellie Liang</w:t>
        </w:r>
      </w:hyperlink>
      <w:r w:rsidR="00414792" w:rsidRPr="00F245E8">
        <w:t> and </w:t>
      </w:r>
      <w:hyperlink r:id="rId21" w:tgtFrame="_blank" w:history="1">
        <w:r w:rsidR="00414792" w:rsidRPr="00F245E8">
          <w:t>Tobias Adrian</w:t>
        </w:r>
      </w:hyperlink>
      <w:r w:rsidR="00414792" w:rsidRPr="00F245E8">
        <w:t>, “How Growth-at-Risk can help central bankers gauge financial stability risks” Brookings, April 11, 2019</w:t>
      </w:r>
      <w:r w:rsidR="00414792">
        <w:t>).</w:t>
      </w:r>
    </w:p>
    <w:p w14:paraId="3B868AA2" w14:textId="4742B1EE" w:rsidR="00F744F5" w:rsidRPr="00F744F5" w:rsidRDefault="00F744F5" w:rsidP="00F744F5">
      <w:pPr>
        <w:pStyle w:val="ListParagraph"/>
        <w:numPr>
          <w:ilvl w:val="1"/>
          <w:numId w:val="13"/>
        </w:numPr>
        <w:spacing w:after="0"/>
        <w:rPr>
          <w:sz w:val="20"/>
          <w:szCs w:val="20"/>
        </w:rPr>
      </w:pPr>
      <w:r w:rsidRPr="00F744F5">
        <w:rPr>
          <w:sz w:val="20"/>
          <w:szCs w:val="20"/>
        </w:rPr>
        <w:t>Summary of the idea of a “term structure” of growth-at-risk</w:t>
      </w:r>
    </w:p>
    <w:p w14:paraId="6DC1EF7F" w14:textId="7D60CA90" w:rsidR="00F744F5" w:rsidRDefault="00F744F5" w:rsidP="00F744F5">
      <w:pPr>
        <w:pStyle w:val="ListParagraph"/>
        <w:numPr>
          <w:ilvl w:val="1"/>
          <w:numId w:val="13"/>
        </w:numPr>
        <w:spacing w:after="0"/>
        <w:rPr>
          <w:sz w:val="20"/>
          <w:szCs w:val="20"/>
        </w:rPr>
      </w:pPr>
      <w:r w:rsidRPr="00F744F5">
        <w:rPr>
          <w:sz w:val="20"/>
          <w:szCs w:val="20"/>
        </w:rPr>
        <w:lastRenderedPageBreak/>
        <w:t xml:space="preserve">When asset prices fall and financial market volatility rises, monetary policymakers face a dilemma.  An interest rate cut would reduce downside risks to the economy and support economic growth.  But it could also fuel risk taking, leading to higher asset valuations, more leverage, and other buildups of financial vulnerabilities, raising future </w:t>
      </w:r>
      <w:proofErr w:type="gramStart"/>
      <w:r w:rsidRPr="00F744F5">
        <w:rPr>
          <w:sz w:val="20"/>
          <w:szCs w:val="20"/>
        </w:rPr>
        <w:t>risks</w:t>
      </w:r>
      <w:proofErr w:type="gramEnd"/>
    </w:p>
    <w:p w14:paraId="09C0251D" w14:textId="77777777" w:rsidR="00D84FE2" w:rsidRDefault="00D84FE2" w:rsidP="00D84FE2">
      <w:pPr>
        <w:pStyle w:val="ListParagraph"/>
        <w:spacing w:after="0"/>
        <w:ind w:left="1080"/>
        <w:rPr>
          <w:sz w:val="20"/>
          <w:szCs w:val="20"/>
        </w:rPr>
      </w:pPr>
    </w:p>
    <w:p w14:paraId="12ACCFA6" w14:textId="42BEA1E9" w:rsidR="00D84FE2" w:rsidRPr="002D2DB9" w:rsidRDefault="00D84FE2" w:rsidP="00D84FE2">
      <w:pPr>
        <w:pStyle w:val="ListParagraph"/>
        <w:numPr>
          <w:ilvl w:val="0"/>
          <w:numId w:val="19"/>
        </w:numPr>
      </w:pPr>
      <w:r w:rsidRPr="002D2DB9">
        <w:t xml:space="preserve">Kevin </w:t>
      </w:r>
      <w:proofErr w:type="spellStart"/>
      <w:r w:rsidRPr="002D2DB9">
        <w:t>Doyd</w:t>
      </w:r>
      <w:proofErr w:type="spellEnd"/>
      <w:r w:rsidRPr="002D2DB9">
        <w:t>, “Measuring Market Risk”</w:t>
      </w:r>
      <w:r w:rsidR="002D2DB9" w:rsidRPr="002D2DB9">
        <w:t xml:space="preserve"> 2nd Ed, 2005</w:t>
      </w:r>
    </w:p>
    <w:p w14:paraId="574BB602" w14:textId="43C0AFA1" w:rsidR="002D2DB9" w:rsidRDefault="002D2DB9" w:rsidP="002D2DB9">
      <w:pPr>
        <w:pStyle w:val="ListParagraph"/>
        <w:numPr>
          <w:ilvl w:val="1"/>
          <w:numId w:val="13"/>
        </w:numPr>
        <w:spacing w:after="0"/>
        <w:rPr>
          <w:sz w:val="20"/>
          <w:szCs w:val="20"/>
        </w:rPr>
      </w:pPr>
      <w:r>
        <w:rPr>
          <w:sz w:val="20"/>
          <w:szCs w:val="20"/>
        </w:rPr>
        <w:t xml:space="preserve">Chapter 3 provides an overview to “Measuring Value-at-Risk”, which can be done with historical or parametric </w:t>
      </w:r>
      <w:proofErr w:type="gramStart"/>
      <w:r>
        <w:rPr>
          <w:sz w:val="20"/>
          <w:szCs w:val="20"/>
        </w:rPr>
        <w:t>approaches</w:t>
      </w:r>
      <w:proofErr w:type="gramEnd"/>
      <w:r>
        <w:rPr>
          <w:sz w:val="20"/>
          <w:szCs w:val="20"/>
        </w:rPr>
        <w:t xml:space="preserve"> </w:t>
      </w:r>
    </w:p>
    <w:p w14:paraId="5695C11A" w14:textId="6FB9B45F" w:rsidR="002D2DB9" w:rsidRPr="00F744F5" w:rsidRDefault="00DC6ACA" w:rsidP="002D2DB9">
      <w:pPr>
        <w:pStyle w:val="ListParagraph"/>
        <w:numPr>
          <w:ilvl w:val="1"/>
          <w:numId w:val="13"/>
        </w:numPr>
        <w:spacing w:after="0"/>
        <w:rPr>
          <w:sz w:val="20"/>
          <w:szCs w:val="20"/>
        </w:rPr>
      </w:pPr>
      <w:r>
        <w:rPr>
          <w:sz w:val="20"/>
          <w:szCs w:val="20"/>
        </w:rPr>
        <w:t xml:space="preserve">The concept of Value-at-Risk is identical to the concept of </w:t>
      </w:r>
      <w:proofErr w:type="spellStart"/>
      <w:r>
        <w:rPr>
          <w:sz w:val="20"/>
          <w:szCs w:val="20"/>
        </w:rPr>
        <w:t>Grwoth</w:t>
      </w:r>
      <w:proofErr w:type="spellEnd"/>
      <w:r>
        <w:rPr>
          <w:sz w:val="20"/>
          <w:szCs w:val="20"/>
        </w:rPr>
        <w:t xml:space="preserve">-at-Risk.  </w:t>
      </w:r>
      <w:r w:rsidR="002D2DB9">
        <w:rPr>
          <w:sz w:val="20"/>
          <w:szCs w:val="20"/>
        </w:rPr>
        <w:t>Value-at-Risk provides a more established literature that may be useful to understand the foundation of the idea of Growth-at-</w:t>
      </w:r>
      <w:proofErr w:type="gramStart"/>
      <w:r w:rsidR="002D2DB9">
        <w:rPr>
          <w:sz w:val="20"/>
          <w:szCs w:val="20"/>
        </w:rPr>
        <w:t>Risk</w:t>
      </w:r>
      <w:proofErr w:type="gramEnd"/>
    </w:p>
    <w:p w14:paraId="7872BD51" w14:textId="77777777" w:rsidR="000E5643" w:rsidRDefault="000E5643" w:rsidP="00FF768B">
      <w:pPr>
        <w:pStyle w:val="NoSpacing"/>
      </w:pPr>
    </w:p>
    <w:p w14:paraId="51683D98" w14:textId="77777777" w:rsidR="000E5643" w:rsidRDefault="000E5643" w:rsidP="00FF768B">
      <w:pPr>
        <w:pStyle w:val="NoSpacing"/>
      </w:pPr>
    </w:p>
    <w:p w14:paraId="6B4B461B" w14:textId="647E31DE" w:rsidR="000E5643" w:rsidRDefault="002D2DB9" w:rsidP="000E5643">
      <w:pPr>
        <w:pStyle w:val="Heading1"/>
      </w:pPr>
      <w:r>
        <w:t xml:space="preserve">4. </w:t>
      </w:r>
      <w:r w:rsidR="000E5643">
        <w:t>Analyzing materials</w:t>
      </w:r>
    </w:p>
    <w:p w14:paraId="732B0B45" w14:textId="1180D032" w:rsidR="00F1250A" w:rsidRDefault="00F1250A" w:rsidP="00F1250A">
      <w:r>
        <w:t xml:space="preserve">The data used in this project has been documented in the Abstract as part of Module 1 but is referenced here again for convenience.  </w:t>
      </w:r>
    </w:p>
    <w:p w14:paraId="0233CF07" w14:textId="34F648AD" w:rsidR="00D901CC" w:rsidRDefault="00D901CC" w:rsidP="00D901CC">
      <w:pPr>
        <w:pStyle w:val="ListParagraph"/>
        <w:numPr>
          <w:ilvl w:val="1"/>
          <w:numId w:val="13"/>
        </w:numPr>
        <w:spacing w:after="0"/>
        <w:rPr>
          <w:rFonts w:ascii="Times New Roman" w:hAnsi="Times New Roman" w:cs="Times New Roman"/>
          <w:sz w:val="24"/>
          <w:lang w:val="en-US"/>
        </w:rPr>
      </w:pPr>
      <w:r w:rsidRPr="00D901CC">
        <w:t xml:space="preserve">Quarterly GDP data for Canada -- publicly available from Stats Canada at </w:t>
      </w:r>
      <w:hyperlink r:id="rId22" w:history="1">
        <w:r>
          <w:rPr>
            <w:rStyle w:val="Hyperlink"/>
          </w:rPr>
          <w:t>The Daily — Gross domestic product, income and expenditure, fourth quarter 2021 (statcan.gc.ca)</w:t>
        </w:r>
      </w:hyperlink>
    </w:p>
    <w:p w14:paraId="1899F964" w14:textId="33882757" w:rsidR="00D901CC" w:rsidRDefault="00D901CC" w:rsidP="00D901CC">
      <w:pPr>
        <w:pStyle w:val="ListParagraph"/>
        <w:numPr>
          <w:ilvl w:val="1"/>
          <w:numId w:val="13"/>
        </w:numPr>
        <w:spacing w:after="0"/>
        <w:rPr>
          <w:rFonts w:ascii="Times New Roman" w:hAnsi="Times New Roman" w:cs="Times New Roman"/>
          <w:sz w:val="24"/>
          <w:lang w:val="en-US"/>
        </w:rPr>
      </w:pPr>
      <w:r w:rsidRPr="00D901CC">
        <w:t xml:space="preserve">Total credit to the Canadian economy -- publicly available from the Bank for International Settlements at: </w:t>
      </w:r>
      <w:hyperlink r:id="rId23" w:history="1">
        <w:r>
          <w:rPr>
            <w:rStyle w:val="Hyperlink"/>
          </w:rPr>
          <w:t>Credit to the non-financial sector (bis.org)</w:t>
        </w:r>
      </w:hyperlink>
    </w:p>
    <w:p w14:paraId="4F9D86E3" w14:textId="77777777" w:rsidR="00F1250A" w:rsidRDefault="00F1250A" w:rsidP="00F1250A"/>
    <w:p w14:paraId="27426061" w14:textId="7B4AD609" w:rsidR="00F1250A" w:rsidRDefault="00F1250A" w:rsidP="00F1250A">
      <w:r>
        <w:t xml:space="preserve">For Module 2, </w:t>
      </w:r>
      <w:r w:rsidR="00D901CC">
        <w:t xml:space="preserve">the raw GDP and Credit </w:t>
      </w:r>
      <w:r>
        <w:t xml:space="preserve">read </w:t>
      </w:r>
      <w:r w:rsidR="00D901CC">
        <w:t xml:space="preserve">is read </w:t>
      </w:r>
      <w:r>
        <w:t xml:space="preserve">into R and the R Markdown has been attached.  Here, we provide some highlights of the data:  </w:t>
      </w:r>
    </w:p>
    <w:p w14:paraId="7FAC9AD7" w14:textId="63F318ED" w:rsidR="000E5643" w:rsidRDefault="00D901CC" w:rsidP="000E5643">
      <w:pPr>
        <w:pStyle w:val="Heading2"/>
        <w:rPr>
          <w:bCs/>
        </w:rPr>
      </w:pPr>
      <w:r>
        <w:rPr>
          <w:bCs/>
        </w:rPr>
        <w:t>The GDP data</w:t>
      </w:r>
    </w:p>
    <w:p w14:paraId="6D3D88B9" w14:textId="77777777" w:rsidR="00D901CC" w:rsidRDefault="00D901CC" w:rsidP="00D901CC">
      <w:r>
        <w:t xml:space="preserve">The summary statistics shows that the mean of the distribution is very close to the median.  We can conclude that the data is not significantly skewed.  The left tail is longer than the right.  That’s important – it seems there’s more potential to lose GDP in a recession than there is upside risk to GDP growth.  </w:t>
      </w:r>
    </w:p>
    <w:p w14:paraId="6CB30263" w14:textId="77777777" w:rsidR="00D901CC" w:rsidRDefault="00D901CC" w:rsidP="00D901CC">
      <w:r>
        <w:rPr>
          <w:noProof/>
        </w:rPr>
        <w:drawing>
          <wp:inline distT="0" distB="0" distL="0" distR="0" wp14:anchorId="14B2FBF2" wp14:editId="3178396C">
            <wp:extent cx="3919672" cy="1148486"/>
            <wp:effectExtent l="0" t="0" r="508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24"/>
                    <a:stretch>
                      <a:fillRect/>
                    </a:stretch>
                  </pic:blipFill>
                  <pic:spPr>
                    <a:xfrm>
                      <a:off x="0" y="0"/>
                      <a:ext cx="3931270" cy="1151884"/>
                    </a:xfrm>
                    <a:prstGeom prst="rect">
                      <a:avLst/>
                    </a:prstGeom>
                  </pic:spPr>
                </pic:pic>
              </a:graphicData>
            </a:graphic>
          </wp:inline>
        </w:drawing>
      </w:r>
    </w:p>
    <w:p w14:paraId="2A6F806F" w14:textId="77777777" w:rsidR="00D901CC" w:rsidRDefault="00D901CC" w:rsidP="00D901CC"/>
    <w:p w14:paraId="129EEE88" w14:textId="77777777" w:rsidR="00D901CC" w:rsidRDefault="00D901CC" w:rsidP="00D901CC">
      <w:r>
        <w:t xml:space="preserve">We check the hypothesis that the left tail may be longer than the right.  The histogram confirms that this is true.  </w:t>
      </w:r>
    </w:p>
    <w:p w14:paraId="76318077" w14:textId="77777777" w:rsidR="00D901CC" w:rsidRDefault="00D901CC" w:rsidP="00D901CC">
      <w:r>
        <w:rPr>
          <w:noProof/>
        </w:rPr>
        <w:lastRenderedPageBreak/>
        <w:drawing>
          <wp:inline distT="0" distB="0" distL="0" distR="0" wp14:anchorId="6C3FBB26" wp14:editId="63FB959E">
            <wp:extent cx="3330054" cy="2521377"/>
            <wp:effectExtent l="0" t="0" r="3810" b="0"/>
            <wp:docPr id="2" name="Picture 2"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n a screen&#10;&#10;Description automatically generated"/>
                    <pic:cNvPicPr/>
                  </pic:nvPicPr>
                  <pic:blipFill>
                    <a:blip r:embed="rId25"/>
                    <a:stretch>
                      <a:fillRect/>
                    </a:stretch>
                  </pic:blipFill>
                  <pic:spPr>
                    <a:xfrm>
                      <a:off x="0" y="0"/>
                      <a:ext cx="3337418" cy="2526953"/>
                    </a:xfrm>
                    <a:prstGeom prst="rect">
                      <a:avLst/>
                    </a:prstGeom>
                  </pic:spPr>
                </pic:pic>
              </a:graphicData>
            </a:graphic>
          </wp:inline>
        </w:drawing>
      </w:r>
    </w:p>
    <w:p w14:paraId="641A43BF" w14:textId="77777777" w:rsidR="00D901CC" w:rsidRDefault="00D901CC" w:rsidP="00D901CC"/>
    <w:p w14:paraId="5EA5F397" w14:textId="33E1735B" w:rsidR="00D901CC" w:rsidRDefault="00D901CC" w:rsidP="00D901CC">
      <w:r>
        <w:t xml:space="preserve">The histogram confirms a longer left tail and suggests that we may have outliers.  We check with a boxplot and confirm the outliers – which lie predominantly to the downside (left tail).  </w:t>
      </w:r>
    </w:p>
    <w:p w14:paraId="1F7ED5B4" w14:textId="77777777" w:rsidR="00D901CC" w:rsidRDefault="00D901CC" w:rsidP="00D901CC">
      <w:r>
        <w:rPr>
          <w:noProof/>
        </w:rPr>
        <w:drawing>
          <wp:inline distT="0" distB="0" distL="0" distR="0" wp14:anchorId="45A7AF21" wp14:editId="4CF671EF">
            <wp:extent cx="3951027" cy="2658501"/>
            <wp:effectExtent l="0" t="0" r="0" b="8890"/>
            <wp:docPr id="3" name="Picture 3"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 bar graph&#10;&#10;Description automatically generated with medium confidence"/>
                    <pic:cNvPicPr/>
                  </pic:nvPicPr>
                  <pic:blipFill>
                    <a:blip r:embed="rId26"/>
                    <a:stretch>
                      <a:fillRect/>
                    </a:stretch>
                  </pic:blipFill>
                  <pic:spPr>
                    <a:xfrm>
                      <a:off x="0" y="0"/>
                      <a:ext cx="3961937" cy="2665842"/>
                    </a:xfrm>
                    <a:prstGeom prst="rect">
                      <a:avLst/>
                    </a:prstGeom>
                  </pic:spPr>
                </pic:pic>
              </a:graphicData>
            </a:graphic>
          </wp:inline>
        </w:drawing>
      </w:r>
    </w:p>
    <w:p w14:paraId="5FD918CE" w14:textId="3EA1F590" w:rsidR="00D901CC" w:rsidRDefault="00D901CC" w:rsidP="00D901CC">
      <w:r>
        <w:t xml:space="preserve">We note an important implication.  The predictive work planned in this project consists in estimating tail risks to GDP growth.  Outliers provide important information and will not be removed from the data set.  Moreover, we highlight that outliers and skew do not represent any challenges to the approach proposed </w:t>
      </w:r>
      <w:proofErr w:type="spellStart"/>
      <w:proofErr w:type="gramStart"/>
      <w:r>
        <w:t>here,</w:t>
      </w:r>
      <w:r w:rsidR="00D56CE6">
        <w:t>noting</w:t>
      </w:r>
      <w:proofErr w:type="spellEnd"/>
      <w:proofErr w:type="gramEnd"/>
      <w:r>
        <w:t xml:space="preserve">: </w:t>
      </w:r>
    </w:p>
    <w:p w14:paraId="26997C71" w14:textId="665658D2" w:rsidR="00D901CC" w:rsidRPr="00A703DB" w:rsidRDefault="00D901CC" w:rsidP="00D901CC">
      <w:pPr>
        <w:pStyle w:val="ListParagraph"/>
        <w:numPr>
          <w:ilvl w:val="0"/>
          <w:numId w:val="22"/>
        </w:numPr>
        <w:spacing w:after="160"/>
      </w:pPr>
      <w:r w:rsidRPr="00A703DB">
        <w:t>While OLS regression makes parametric assumptions, such as requiring normal distribution of the error terms, quantile regression makes no parametric assumptions. Each of the 37 q</w:t>
      </w:r>
      <w:r w:rsidR="00D56CE6">
        <w:t>u</w:t>
      </w:r>
      <w:r w:rsidRPr="00A703DB">
        <w:t>antiles in our regression is fitted independently.</w:t>
      </w:r>
    </w:p>
    <w:p w14:paraId="6947BA37" w14:textId="77777777" w:rsidR="00D901CC" w:rsidRPr="00A703DB" w:rsidRDefault="00D901CC" w:rsidP="00D901CC">
      <w:pPr>
        <w:pStyle w:val="ListParagraph"/>
        <w:numPr>
          <w:ilvl w:val="0"/>
          <w:numId w:val="22"/>
        </w:numPr>
        <w:spacing w:after="160"/>
      </w:pPr>
      <w:r w:rsidRPr="00A703DB">
        <w:t>While OLS brakes down given outliers and skew, quantile regression is robust to outliers and highly skewed distributions.</w:t>
      </w:r>
    </w:p>
    <w:p w14:paraId="7FBFAE89" w14:textId="41799E11" w:rsidR="00D901CC" w:rsidRDefault="00D901CC" w:rsidP="00D901CC">
      <w:r>
        <w:lastRenderedPageBreak/>
        <w:t xml:space="preserve">Given evidence of some degree of skew, we test how skewed the distribution is where the skew lies with a </w:t>
      </w:r>
      <w:r w:rsidR="00D56CE6">
        <w:t>QQ</w:t>
      </w:r>
      <w:r>
        <w:t xml:space="preserve"> plot.  It turns out that the skew is mainly in the tails (especially the left tail). Otherwise</w:t>
      </w:r>
      <w:r w:rsidR="00D56CE6">
        <w:t>,</w:t>
      </w:r>
      <w:r>
        <w:t xml:space="preserve"> the distribution is remarkable normal.  </w:t>
      </w:r>
    </w:p>
    <w:p w14:paraId="7797C6CF" w14:textId="77777777" w:rsidR="00D901CC" w:rsidRDefault="00D901CC" w:rsidP="00D901CC">
      <w:r>
        <w:rPr>
          <w:noProof/>
        </w:rPr>
        <w:drawing>
          <wp:inline distT="0" distB="0" distL="0" distR="0" wp14:anchorId="257DBBB6" wp14:editId="6396FF72">
            <wp:extent cx="4487299" cy="2790967"/>
            <wp:effectExtent l="0" t="0" r="8890" b="0"/>
            <wp:docPr id="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10;&#10;Description automatically generated"/>
                    <pic:cNvPicPr/>
                  </pic:nvPicPr>
                  <pic:blipFill>
                    <a:blip r:embed="rId27"/>
                    <a:stretch>
                      <a:fillRect/>
                    </a:stretch>
                  </pic:blipFill>
                  <pic:spPr>
                    <a:xfrm>
                      <a:off x="0" y="0"/>
                      <a:ext cx="4494577" cy="2795493"/>
                    </a:xfrm>
                    <a:prstGeom prst="rect">
                      <a:avLst/>
                    </a:prstGeom>
                  </pic:spPr>
                </pic:pic>
              </a:graphicData>
            </a:graphic>
          </wp:inline>
        </w:drawing>
      </w:r>
    </w:p>
    <w:p w14:paraId="35D7F786" w14:textId="77777777" w:rsidR="000E5643" w:rsidRDefault="000E5643" w:rsidP="00FF768B">
      <w:pPr>
        <w:pStyle w:val="NoSpacing"/>
      </w:pPr>
    </w:p>
    <w:p w14:paraId="40C8655F" w14:textId="648C3A09" w:rsidR="00F1250A" w:rsidRDefault="00D56CE6" w:rsidP="00D56CE6">
      <w:pPr>
        <w:pStyle w:val="Heading2"/>
        <w:numPr>
          <w:ilvl w:val="0"/>
          <w:numId w:val="13"/>
        </w:numPr>
        <w:rPr>
          <w:bCs/>
        </w:rPr>
      </w:pPr>
      <w:r>
        <w:rPr>
          <w:bCs/>
        </w:rPr>
        <w:t>The credit data</w:t>
      </w:r>
    </w:p>
    <w:p w14:paraId="56CDADBA" w14:textId="77777777" w:rsidR="000E5643" w:rsidRDefault="000E5643" w:rsidP="00FF768B">
      <w:pPr>
        <w:pStyle w:val="NoSpacing"/>
      </w:pPr>
    </w:p>
    <w:p w14:paraId="4BE3214D" w14:textId="77777777" w:rsidR="00D56CE6" w:rsidRDefault="00D56CE6" w:rsidP="00D56CE6">
      <w:r>
        <w:t xml:space="preserve">The BIS data provides various measures of </w:t>
      </w:r>
      <w:proofErr w:type="gramStart"/>
      <w:r>
        <w:t>credit</w:t>
      </w:r>
      <w:proofErr w:type="gramEnd"/>
      <w:r>
        <w:t xml:space="preserve"> and we graph and examine all data in order to choose which series to use as indicator variable:  </w:t>
      </w:r>
    </w:p>
    <w:p w14:paraId="63816442" w14:textId="77777777" w:rsidR="00D56CE6" w:rsidRDefault="00D56CE6" w:rsidP="00D56CE6">
      <w:r>
        <w:rPr>
          <w:noProof/>
        </w:rPr>
        <w:drawing>
          <wp:inline distT="0" distB="0" distL="0" distR="0" wp14:anchorId="1C615AE2" wp14:editId="4C9112CF">
            <wp:extent cx="4454957" cy="2999004"/>
            <wp:effectExtent l="0" t="0" r="3175" b="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28"/>
                    <a:stretch>
                      <a:fillRect/>
                    </a:stretch>
                  </pic:blipFill>
                  <pic:spPr>
                    <a:xfrm>
                      <a:off x="0" y="0"/>
                      <a:ext cx="4481483" cy="3016861"/>
                    </a:xfrm>
                    <a:prstGeom prst="rect">
                      <a:avLst/>
                    </a:prstGeom>
                  </pic:spPr>
                </pic:pic>
              </a:graphicData>
            </a:graphic>
          </wp:inline>
        </w:drawing>
      </w:r>
    </w:p>
    <w:p w14:paraId="16BA2729" w14:textId="546F83AF" w:rsidR="00D56CE6" w:rsidRDefault="00D56CE6" w:rsidP="00D56CE6">
      <w:r>
        <w:lastRenderedPageBreak/>
        <w:t xml:space="preserve">Only two series go back to the 1960s and we have GDP data going back to the 1960.  </w:t>
      </w:r>
    </w:p>
    <w:p w14:paraId="7E7D0910" w14:textId="77777777" w:rsidR="00D56CE6" w:rsidRDefault="00D56CE6" w:rsidP="00D56CE6">
      <w:pPr>
        <w:pStyle w:val="ListParagraph"/>
        <w:numPr>
          <w:ilvl w:val="0"/>
          <w:numId w:val="23"/>
        </w:numPr>
        <w:spacing w:after="160"/>
      </w:pPr>
      <w:r>
        <w:t xml:space="preserve">“Total Credit to the non-financial sector from all sources” is more comprehensive than “total credit o the private non-financial sector from bank”.  </w:t>
      </w:r>
    </w:p>
    <w:p w14:paraId="1DD19B5B" w14:textId="31683341" w:rsidR="00D56CE6" w:rsidRDefault="00D56CE6" w:rsidP="00D56CE6">
      <w:pPr>
        <w:pStyle w:val="ListParagraph"/>
        <w:numPr>
          <w:ilvl w:val="0"/>
          <w:numId w:val="23"/>
        </w:numPr>
        <w:spacing w:after="160"/>
      </w:pPr>
      <w:r>
        <w:t>We choose the more comprehensive credit data series:</w:t>
      </w:r>
      <w:r w:rsidRPr="00D56CE6">
        <w:t xml:space="preserve"> </w:t>
      </w:r>
      <w:r>
        <w:t xml:space="preserve">“Total Credit to the non-financial sector from all </w:t>
      </w:r>
      <w:proofErr w:type="gramStart"/>
      <w:r>
        <w:t>sources</w:t>
      </w:r>
      <w:proofErr w:type="gramEnd"/>
      <w:r>
        <w:t>”</w:t>
      </w:r>
    </w:p>
    <w:p w14:paraId="0D41C54F" w14:textId="77777777" w:rsidR="00D56CE6" w:rsidRDefault="00D56CE6" w:rsidP="00D56CE6">
      <w:r>
        <w:t>We require rates of change as follows:</w:t>
      </w:r>
    </w:p>
    <w:p w14:paraId="2F3B139C" w14:textId="77777777" w:rsidR="00D56CE6" w:rsidRDefault="00D56CE6" w:rsidP="00D56CE6">
      <w:r>
        <w:rPr>
          <w:noProof/>
        </w:rPr>
        <w:drawing>
          <wp:inline distT="0" distB="0" distL="0" distR="0" wp14:anchorId="323BD906" wp14:editId="3D019A44">
            <wp:extent cx="4224398" cy="2565779"/>
            <wp:effectExtent l="0" t="0" r="5080" b="6350"/>
            <wp:docPr id="6" name="Picture 6"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showing the growth of the stock market&#10;&#10;Description automatically generated"/>
                    <pic:cNvPicPr/>
                  </pic:nvPicPr>
                  <pic:blipFill>
                    <a:blip r:embed="rId29"/>
                    <a:stretch>
                      <a:fillRect/>
                    </a:stretch>
                  </pic:blipFill>
                  <pic:spPr>
                    <a:xfrm>
                      <a:off x="0" y="0"/>
                      <a:ext cx="4245841" cy="2578803"/>
                    </a:xfrm>
                    <a:prstGeom prst="rect">
                      <a:avLst/>
                    </a:prstGeom>
                  </pic:spPr>
                </pic:pic>
              </a:graphicData>
            </a:graphic>
          </wp:inline>
        </w:drawing>
      </w:r>
    </w:p>
    <w:p w14:paraId="34185540" w14:textId="77777777" w:rsidR="00D56CE6" w:rsidRDefault="00D56CE6" w:rsidP="00D56CE6">
      <w:r>
        <w:t xml:space="preserve">We go through the same steps to examine the statistical characteristics of the data and conclude that empirical series is approximately normally distributed (with less skew and much fewer outliers than the GDP data).  </w:t>
      </w:r>
    </w:p>
    <w:p w14:paraId="248B4700" w14:textId="77777777" w:rsidR="00D56CE6" w:rsidRDefault="00D56CE6" w:rsidP="00D56CE6">
      <w:r>
        <w:rPr>
          <w:noProof/>
        </w:rPr>
        <w:drawing>
          <wp:inline distT="0" distB="0" distL="0" distR="0" wp14:anchorId="0187E971" wp14:editId="56133325">
            <wp:extent cx="4046220" cy="1105468"/>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30"/>
                    <a:stretch>
                      <a:fillRect/>
                    </a:stretch>
                  </pic:blipFill>
                  <pic:spPr>
                    <a:xfrm>
                      <a:off x="0" y="0"/>
                      <a:ext cx="4054218" cy="1107653"/>
                    </a:xfrm>
                    <a:prstGeom prst="rect">
                      <a:avLst/>
                    </a:prstGeom>
                  </pic:spPr>
                </pic:pic>
              </a:graphicData>
            </a:graphic>
          </wp:inline>
        </w:drawing>
      </w:r>
    </w:p>
    <w:p w14:paraId="0E2FA12C" w14:textId="6F0A5315" w:rsidR="00D56CE6" w:rsidRDefault="00D56CE6" w:rsidP="00D56CE6">
      <w:r>
        <w:t xml:space="preserve">The data appears approximately normally distributed.  We test with a histogram for more </w:t>
      </w:r>
      <w:proofErr w:type="gramStart"/>
      <w:r>
        <w:t>nuance</w:t>
      </w:r>
      <w:proofErr w:type="gramEnd"/>
    </w:p>
    <w:p w14:paraId="5446C41D" w14:textId="77777777" w:rsidR="00D56CE6" w:rsidRDefault="00D56CE6" w:rsidP="00D56CE6">
      <w:r>
        <w:rPr>
          <w:noProof/>
        </w:rPr>
        <w:lastRenderedPageBreak/>
        <w:drawing>
          <wp:inline distT="0" distB="0" distL="0" distR="0" wp14:anchorId="399DFAE5" wp14:editId="7CAEEA12">
            <wp:extent cx="4121624" cy="3071843"/>
            <wp:effectExtent l="0" t="0" r="0" b="0"/>
            <wp:docPr id="8" name="Picture 8"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n a screen&#10;&#10;Description automatically generated"/>
                    <pic:cNvPicPr/>
                  </pic:nvPicPr>
                  <pic:blipFill>
                    <a:blip r:embed="rId31"/>
                    <a:stretch>
                      <a:fillRect/>
                    </a:stretch>
                  </pic:blipFill>
                  <pic:spPr>
                    <a:xfrm>
                      <a:off x="0" y="0"/>
                      <a:ext cx="4133672" cy="3080823"/>
                    </a:xfrm>
                    <a:prstGeom prst="rect">
                      <a:avLst/>
                    </a:prstGeom>
                  </pic:spPr>
                </pic:pic>
              </a:graphicData>
            </a:graphic>
          </wp:inline>
        </w:drawing>
      </w:r>
    </w:p>
    <w:p w14:paraId="0E43F7A6" w14:textId="0B069A2C" w:rsidR="00D56CE6" w:rsidRDefault="00D56CE6" w:rsidP="00D56CE6">
      <w:r>
        <w:t xml:space="preserve">It appears that there are few outliers and that they lie mainly to the right.  We confirm with a </w:t>
      </w:r>
      <w:proofErr w:type="gramStart"/>
      <w:r>
        <w:t>boxplot</w:t>
      </w:r>
      <w:proofErr w:type="gramEnd"/>
    </w:p>
    <w:p w14:paraId="39DE700A" w14:textId="77777777" w:rsidR="00D56CE6" w:rsidRDefault="00D56CE6" w:rsidP="00D56CE6">
      <w:r>
        <w:rPr>
          <w:noProof/>
        </w:rPr>
        <w:drawing>
          <wp:inline distT="0" distB="0" distL="0" distR="0" wp14:anchorId="5D56AE4C" wp14:editId="616979E4">
            <wp:extent cx="4387215" cy="2941093"/>
            <wp:effectExtent l="0" t="0" r="0" b="0"/>
            <wp:docPr id="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graph&#10;&#10;Description automatically generated"/>
                    <pic:cNvPicPr/>
                  </pic:nvPicPr>
                  <pic:blipFill>
                    <a:blip r:embed="rId32"/>
                    <a:stretch>
                      <a:fillRect/>
                    </a:stretch>
                  </pic:blipFill>
                  <pic:spPr>
                    <a:xfrm>
                      <a:off x="0" y="0"/>
                      <a:ext cx="4409431" cy="2955986"/>
                    </a:xfrm>
                    <a:prstGeom prst="rect">
                      <a:avLst/>
                    </a:prstGeom>
                  </pic:spPr>
                </pic:pic>
              </a:graphicData>
            </a:graphic>
          </wp:inline>
        </w:drawing>
      </w:r>
    </w:p>
    <w:p w14:paraId="257D11DE" w14:textId="2312F762" w:rsidR="00D56CE6" w:rsidRDefault="00D56CE6" w:rsidP="00D56CE6">
      <w:r>
        <w:t xml:space="preserve">We want to know whether the deviations from normal are significant and where they occur. </w:t>
      </w:r>
      <w:r w:rsidR="00DF25FB">
        <w:t>We use a QQ plot to test.  We conclude that the data is approximately normally distributed.</w:t>
      </w:r>
    </w:p>
    <w:p w14:paraId="4A232A25" w14:textId="77777777" w:rsidR="00D56CE6" w:rsidRDefault="00D56CE6" w:rsidP="00D56CE6">
      <w:r>
        <w:rPr>
          <w:noProof/>
        </w:rPr>
        <w:lastRenderedPageBreak/>
        <w:drawing>
          <wp:inline distT="0" distB="0" distL="0" distR="0" wp14:anchorId="26760954" wp14:editId="1950ABC4">
            <wp:extent cx="4462727" cy="3159457"/>
            <wp:effectExtent l="0" t="0" r="0" b="3175"/>
            <wp:docPr id="1416247039" name="Picture 141624703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47039" name="Picture 1416247039" descr="A graph with a line&#10;&#10;Description automatically generated"/>
                    <pic:cNvPicPr/>
                  </pic:nvPicPr>
                  <pic:blipFill>
                    <a:blip r:embed="rId33"/>
                    <a:stretch>
                      <a:fillRect/>
                    </a:stretch>
                  </pic:blipFill>
                  <pic:spPr>
                    <a:xfrm>
                      <a:off x="0" y="0"/>
                      <a:ext cx="4477029" cy="3169582"/>
                    </a:xfrm>
                    <a:prstGeom prst="rect">
                      <a:avLst/>
                    </a:prstGeom>
                  </pic:spPr>
                </pic:pic>
              </a:graphicData>
            </a:graphic>
          </wp:inline>
        </w:drawing>
      </w:r>
    </w:p>
    <w:p w14:paraId="4214A5A2" w14:textId="77777777" w:rsidR="00D56CE6" w:rsidRDefault="00D56CE6" w:rsidP="00D56CE6"/>
    <w:p w14:paraId="1294071C" w14:textId="77777777" w:rsidR="000E5643" w:rsidRDefault="000E5643" w:rsidP="00FF768B">
      <w:pPr>
        <w:pStyle w:val="NoSpacing"/>
      </w:pPr>
    </w:p>
    <w:p w14:paraId="1CDC3018" w14:textId="1231EE9C" w:rsidR="000E5643" w:rsidRDefault="0024199C" w:rsidP="000E5643">
      <w:pPr>
        <w:pStyle w:val="Heading1"/>
      </w:pPr>
      <w:r>
        <w:t xml:space="preserve">5. </w:t>
      </w:r>
      <w:r w:rsidR="000E5643">
        <w:t>Managing results</w:t>
      </w:r>
    </w:p>
    <w:p w14:paraId="3A8E8375" w14:textId="13F9173F" w:rsidR="000E5643" w:rsidRDefault="000E5643" w:rsidP="00033043">
      <w:r>
        <w:t>T</w:t>
      </w:r>
      <w:r w:rsidR="00033043">
        <w:t>he results will be managed via the following GitHub repository</w:t>
      </w:r>
      <w:r w:rsidR="00A61CAF">
        <w:t>:</w:t>
      </w:r>
    </w:p>
    <w:p w14:paraId="783CEDC4" w14:textId="231B2CE9" w:rsidR="00A61CAF" w:rsidRPr="00FF768B" w:rsidRDefault="00000000" w:rsidP="00A61CAF">
      <w:pPr>
        <w:pStyle w:val="ListParagraph"/>
        <w:numPr>
          <w:ilvl w:val="0"/>
          <w:numId w:val="24"/>
        </w:numPr>
      </w:pPr>
      <w:hyperlink r:id="rId34" w:history="1">
        <w:proofErr w:type="spellStart"/>
        <w:r w:rsidR="00A61CAF">
          <w:rPr>
            <w:rStyle w:val="Hyperlink"/>
          </w:rPr>
          <w:t>CJRitschl</w:t>
        </w:r>
        <w:proofErr w:type="spellEnd"/>
        <w:r w:rsidR="00A61CAF">
          <w:rPr>
            <w:rStyle w:val="Hyperlink"/>
          </w:rPr>
          <w:t>/TMU (github.com)</w:t>
        </w:r>
      </w:hyperlink>
    </w:p>
    <w:p w14:paraId="0C045276" w14:textId="77777777" w:rsidR="000E5643" w:rsidRDefault="000E5643" w:rsidP="00FF768B">
      <w:pPr>
        <w:pStyle w:val="NoSpacing"/>
      </w:pPr>
    </w:p>
    <w:p w14:paraId="72DCFF35" w14:textId="0C14848E" w:rsidR="000E5643" w:rsidRDefault="00A61CAF" w:rsidP="00FF768B">
      <w:pPr>
        <w:pStyle w:val="NoSpacing"/>
      </w:pPr>
      <w:r>
        <w:t>The current RMD and</w:t>
      </w:r>
      <w:r w:rsidR="00B80ABB">
        <w:t xml:space="preserve"> the</w:t>
      </w:r>
      <w:r>
        <w:t xml:space="preserve"> excel files have been </w:t>
      </w:r>
      <w:proofErr w:type="gramStart"/>
      <w:r>
        <w:t>uploaded</w:t>
      </w:r>
      <w:proofErr w:type="gramEnd"/>
    </w:p>
    <w:p w14:paraId="5573A6DF" w14:textId="77777777" w:rsidR="00A61CAF" w:rsidRDefault="00A61CAF" w:rsidP="00FF768B">
      <w:pPr>
        <w:pStyle w:val="NoSpacing"/>
      </w:pPr>
    </w:p>
    <w:p w14:paraId="2C166AE1" w14:textId="1D562037" w:rsidR="00A61CAF" w:rsidRDefault="00A61CAF" w:rsidP="00FF768B">
      <w:pPr>
        <w:pStyle w:val="NoSpacing"/>
      </w:pPr>
      <w:r>
        <w:t xml:space="preserve">For convenience, the RMD and excel files have also been submitted with the </w:t>
      </w:r>
      <w:proofErr w:type="gramStart"/>
      <w:r w:rsidR="00B80ABB">
        <w:t>assignment</w:t>
      </w:r>
      <w:proofErr w:type="gramEnd"/>
    </w:p>
    <w:p w14:paraId="24AC10AC" w14:textId="77777777" w:rsidR="000E5643" w:rsidRDefault="000E5643" w:rsidP="00FF768B">
      <w:pPr>
        <w:pStyle w:val="NoSpacing"/>
      </w:pPr>
    </w:p>
    <w:p w14:paraId="730CBCE3" w14:textId="77777777" w:rsidR="000E5643" w:rsidRDefault="000E5643" w:rsidP="00FF768B">
      <w:pPr>
        <w:pStyle w:val="NoSpacing"/>
      </w:pPr>
    </w:p>
    <w:p w14:paraId="743FD1A5" w14:textId="77777777" w:rsidR="000E5643" w:rsidRDefault="000E5643" w:rsidP="00FF768B">
      <w:pPr>
        <w:pStyle w:val="NoSpacing"/>
      </w:pPr>
    </w:p>
    <w:p w14:paraId="5FA09817" w14:textId="77777777" w:rsidR="000E5643" w:rsidRDefault="000E5643" w:rsidP="00FF768B">
      <w:pPr>
        <w:pStyle w:val="NoSpacing"/>
      </w:pPr>
    </w:p>
    <w:p w14:paraId="6D6E2C18" w14:textId="77777777" w:rsidR="000E5643" w:rsidRDefault="000E5643" w:rsidP="00FF768B">
      <w:pPr>
        <w:pStyle w:val="NoSpacing"/>
      </w:pPr>
    </w:p>
    <w:p w14:paraId="7AFAE7F7" w14:textId="77777777" w:rsidR="000E5643" w:rsidRDefault="000E5643" w:rsidP="00FF768B">
      <w:pPr>
        <w:pStyle w:val="NoSpacing"/>
      </w:pPr>
    </w:p>
    <w:p w14:paraId="0DBCB41F" w14:textId="77777777" w:rsidR="000E5643" w:rsidRDefault="000E5643" w:rsidP="00FF768B">
      <w:pPr>
        <w:pStyle w:val="NoSpacing"/>
      </w:pPr>
    </w:p>
    <w:p w14:paraId="6CFA6925" w14:textId="77777777" w:rsidR="000E5643" w:rsidRDefault="000E5643" w:rsidP="00FF768B">
      <w:pPr>
        <w:pStyle w:val="NoSpacing"/>
      </w:pPr>
    </w:p>
    <w:p w14:paraId="756C80BA" w14:textId="77777777" w:rsidR="000E5643" w:rsidRDefault="000E5643" w:rsidP="00FF768B">
      <w:pPr>
        <w:pStyle w:val="NoSpacing"/>
      </w:pPr>
    </w:p>
    <w:p w14:paraId="55C2ACC7" w14:textId="77777777" w:rsidR="000E5643" w:rsidRDefault="000E5643" w:rsidP="00FF768B">
      <w:pPr>
        <w:pStyle w:val="NoSpacing"/>
      </w:pPr>
    </w:p>
    <w:p w14:paraId="33E67B64" w14:textId="77777777" w:rsidR="000E5643" w:rsidRDefault="000E5643" w:rsidP="00FF768B">
      <w:pPr>
        <w:pStyle w:val="NoSpacing"/>
      </w:pPr>
    </w:p>
    <w:p w14:paraId="44D067C0" w14:textId="77777777" w:rsidR="000E5643" w:rsidRDefault="000E5643" w:rsidP="00FF768B">
      <w:pPr>
        <w:pStyle w:val="NoSpacing"/>
      </w:pPr>
    </w:p>
    <w:p w14:paraId="78B18111" w14:textId="4DDC4124" w:rsidR="000E5643" w:rsidRDefault="000E5643" w:rsidP="006A39E5"/>
    <w:sectPr w:rsidR="000E5643" w:rsidSect="00297C4C">
      <w:footerReference w:type="default" r:id="rId35"/>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D44B" w14:textId="77777777" w:rsidR="007C3716" w:rsidRDefault="007C3716" w:rsidP="00B52108">
      <w:r>
        <w:separator/>
      </w:r>
    </w:p>
    <w:p w14:paraId="335AFD1D" w14:textId="77777777" w:rsidR="007C3716" w:rsidRDefault="007C3716"/>
  </w:endnote>
  <w:endnote w:type="continuationSeparator" w:id="0">
    <w:p w14:paraId="40C09AE2" w14:textId="77777777" w:rsidR="007C3716" w:rsidRDefault="007C3716" w:rsidP="00B52108">
      <w:r>
        <w:continuationSeparator/>
      </w:r>
    </w:p>
    <w:p w14:paraId="3802A1ED" w14:textId="77777777" w:rsidR="007C3716" w:rsidRDefault="007C37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A0A1" w14:textId="77777777" w:rsidR="00BA12BF" w:rsidRDefault="00BA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2D218" w14:textId="77777777" w:rsidR="00BA12BF" w:rsidRDefault="00BA12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44F7" w14:textId="77777777" w:rsidR="00BA12BF" w:rsidRDefault="00BA12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197FCC93"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F06F0" w14:textId="77777777" w:rsidR="007C3716" w:rsidRDefault="007C3716" w:rsidP="00B52108">
      <w:r>
        <w:separator/>
      </w:r>
    </w:p>
    <w:p w14:paraId="7C49D776" w14:textId="77777777" w:rsidR="007C3716" w:rsidRDefault="007C3716"/>
  </w:footnote>
  <w:footnote w:type="continuationSeparator" w:id="0">
    <w:p w14:paraId="05348E41" w14:textId="77777777" w:rsidR="007C3716" w:rsidRDefault="007C3716" w:rsidP="00B52108">
      <w:r>
        <w:continuationSeparator/>
      </w:r>
    </w:p>
    <w:p w14:paraId="4C42036B" w14:textId="77777777" w:rsidR="007C3716" w:rsidRDefault="007C37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D85F6" w14:textId="77777777" w:rsidR="00BA12BF" w:rsidRDefault="00BA12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8EF0" w14:textId="77777777" w:rsidR="00BB2847" w:rsidRDefault="00BB2847" w:rsidP="00BB2847">
    <w:pPr>
      <w:spacing w:after="0"/>
      <w:jc w:val="right"/>
      <w:rPr>
        <w:rFonts w:cs="Arial"/>
        <w:b/>
        <w:sz w:val="20"/>
        <w:szCs w:val="20"/>
      </w:rPr>
    </w:pPr>
  </w:p>
  <w:p w14:paraId="5C0F4CE0" w14:textId="77777777" w:rsidR="00BB2847" w:rsidRDefault="00BA12BF" w:rsidP="00403063">
    <w:pPr>
      <w:spacing w:after="0"/>
      <w:jc w:val="right"/>
      <w:rPr>
        <w:rFonts w:cs="Arial"/>
        <w:b/>
        <w:sz w:val="20"/>
        <w:szCs w:val="20"/>
      </w:rPr>
    </w:pPr>
    <w:r>
      <w:rPr>
        <w:rFonts w:cs="Arial"/>
        <w:b/>
        <w:sz w:val="20"/>
        <w:szCs w:val="20"/>
      </w:rPr>
      <w:t>Header</w:t>
    </w:r>
  </w:p>
  <w:p w14:paraId="52051659" w14:textId="77777777" w:rsidR="008F3CE6" w:rsidRDefault="008F3CE6" w:rsidP="00403063">
    <w:pPr>
      <w:spacing w:after="0"/>
      <w:jc w:val="right"/>
      <w:rPr>
        <w:rFonts w:cs="Arial"/>
        <w:b/>
        <w:sz w:val="20"/>
        <w:szCs w:val="20"/>
      </w:rPr>
    </w:pPr>
  </w:p>
  <w:p w14:paraId="28374088" w14:textId="77777777" w:rsidR="008F3CE6" w:rsidRPr="00BB2847" w:rsidRDefault="008F3CE6" w:rsidP="00403063">
    <w:pPr>
      <w:spacing w:after="0"/>
      <w:jc w:val="right"/>
      <w:rPr>
        <w:rFonts w:cs="Arial"/>
        <w:b/>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8A5D1" w14:textId="77777777" w:rsidR="00BA12BF" w:rsidRDefault="00BA1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63357F"/>
    <w:multiLevelType w:val="hybridMultilevel"/>
    <w:tmpl w:val="225C94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85D4C96"/>
    <w:multiLevelType w:val="hybridMultilevel"/>
    <w:tmpl w:val="CB8445C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9D00168"/>
    <w:multiLevelType w:val="hybridMultilevel"/>
    <w:tmpl w:val="66FC4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81E32E7"/>
    <w:multiLevelType w:val="hybridMultilevel"/>
    <w:tmpl w:val="0EFE67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BCB1087"/>
    <w:multiLevelType w:val="hybridMultilevel"/>
    <w:tmpl w:val="A00C5B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C86806"/>
    <w:multiLevelType w:val="hybridMultilevel"/>
    <w:tmpl w:val="E1CCD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314FEC"/>
    <w:multiLevelType w:val="hybridMultilevel"/>
    <w:tmpl w:val="B372B6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2D1330F"/>
    <w:multiLevelType w:val="hybridMultilevel"/>
    <w:tmpl w:val="EADCBA88"/>
    <w:lvl w:ilvl="0" w:tplc="1009000F">
      <w:start w:val="1"/>
      <w:numFmt w:val="decimal"/>
      <w:lvlText w:val="%1."/>
      <w:lvlJc w:val="left"/>
      <w:pPr>
        <w:ind w:left="360" w:hanging="360"/>
      </w:pPr>
      <w:rPr>
        <w:rFonts w:hint="default"/>
      </w:rPr>
    </w:lvl>
    <w:lvl w:ilvl="1" w:tplc="10090005">
      <w:start w:val="1"/>
      <w:numFmt w:val="bullet"/>
      <w:lvlText w:val=""/>
      <w:lvlJc w:val="left"/>
      <w:pPr>
        <w:ind w:left="1080" w:hanging="360"/>
      </w:pPr>
      <w:rPr>
        <w:rFonts w:ascii="Wingdings" w:hAnsi="Wingdings" w:hint="default"/>
      </w:rPr>
    </w:lvl>
    <w:lvl w:ilvl="2" w:tplc="10090005">
      <w:start w:val="1"/>
      <w:numFmt w:val="bullet"/>
      <w:lvlText w:val=""/>
      <w:lvlJc w:val="left"/>
      <w:pPr>
        <w:ind w:left="1980" w:hanging="360"/>
      </w:pPr>
      <w:rPr>
        <w:rFonts w:ascii="Wingdings" w:hAnsi="Wingdings" w:hint="default"/>
      </w:r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6A120BAA"/>
    <w:multiLevelType w:val="hybridMultilevel"/>
    <w:tmpl w:val="46047E8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2F65B8"/>
    <w:multiLevelType w:val="hybridMultilevel"/>
    <w:tmpl w:val="1DFEE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7D74C05"/>
    <w:multiLevelType w:val="hybridMultilevel"/>
    <w:tmpl w:val="467A3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A0C6793"/>
    <w:multiLevelType w:val="hybridMultilevel"/>
    <w:tmpl w:val="B05C3B6A"/>
    <w:lvl w:ilvl="0" w:tplc="1009000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10090001">
      <w:start w:val="1"/>
      <w:numFmt w:val="bullet"/>
      <w:lvlText w:val=""/>
      <w:lvlJc w:val="left"/>
      <w:pPr>
        <w:ind w:left="720" w:hanging="360"/>
      </w:pPr>
      <w:rPr>
        <w:rFonts w:ascii="Symbol" w:hAnsi="Symbol" w:hint="default"/>
      </w:rPr>
    </w:lvl>
    <w:lvl w:ilvl="3" w:tplc="10090001">
      <w:start w:val="1"/>
      <w:numFmt w:val="bullet"/>
      <w:lvlText w:val=""/>
      <w:lvlJc w:val="left"/>
      <w:pPr>
        <w:ind w:left="720" w:hanging="360"/>
      </w:pPr>
      <w:rPr>
        <w:rFonts w:ascii="Symbol" w:hAnsi="Symbol"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D03220A"/>
    <w:multiLevelType w:val="hybridMultilevel"/>
    <w:tmpl w:val="98020F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63355864">
    <w:abstractNumId w:val="0"/>
  </w:num>
  <w:num w:numId="2" w16cid:durableId="1870875260">
    <w:abstractNumId w:val="1"/>
  </w:num>
  <w:num w:numId="3" w16cid:durableId="1647124480">
    <w:abstractNumId w:val="2"/>
  </w:num>
  <w:num w:numId="4" w16cid:durableId="579214302">
    <w:abstractNumId w:val="3"/>
  </w:num>
  <w:num w:numId="5" w16cid:durableId="405148143">
    <w:abstractNumId w:val="4"/>
  </w:num>
  <w:num w:numId="6" w16cid:durableId="1923367197">
    <w:abstractNumId w:val="9"/>
  </w:num>
  <w:num w:numId="7" w16cid:durableId="1437019361">
    <w:abstractNumId w:val="5"/>
  </w:num>
  <w:num w:numId="8" w16cid:durableId="225649744">
    <w:abstractNumId w:val="6"/>
  </w:num>
  <w:num w:numId="9" w16cid:durableId="273906795">
    <w:abstractNumId w:val="7"/>
  </w:num>
  <w:num w:numId="10" w16cid:durableId="528569109">
    <w:abstractNumId w:val="8"/>
  </w:num>
  <w:num w:numId="11" w16cid:durableId="486677028">
    <w:abstractNumId w:val="10"/>
  </w:num>
  <w:num w:numId="12" w16cid:durableId="1297029475">
    <w:abstractNumId w:val="12"/>
  </w:num>
  <w:num w:numId="13" w16cid:durableId="1309941579">
    <w:abstractNumId w:val="18"/>
  </w:num>
  <w:num w:numId="14" w16cid:durableId="58332214">
    <w:abstractNumId w:val="23"/>
  </w:num>
  <w:num w:numId="15" w16cid:durableId="1229341806">
    <w:abstractNumId w:val="19"/>
  </w:num>
  <w:num w:numId="16" w16cid:durableId="1700399179">
    <w:abstractNumId w:val="17"/>
  </w:num>
  <w:num w:numId="17" w16cid:durableId="48306113">
    <w:abstractNumId w:val="11"/>
  </w:num>
  <w:num w:numId="18" w16cid:durableId="966740727">
    <w:abstractNumId w:val="14"/>
  </w:num>
  <w:num w:numId="19" w16cid:durableId="121000791">
    <w:abstractNumId w:val="22"/>
  </w:num>
  <w:num w:numId="20" w16cid:durableId="187375352">
    <w:abstractNumId w:val="15"/>
  </w:num>
  <w:num w:numId="21" w16cid:durableId="1397121527">
    <w:abstractNumId w:val="13"/>
  </w:num>
  <w:num w:numId="22" w16cid:durableId="54091761">
    <w:abstractNumId w:val="21"/>
  </w:num>
  <w:num w:numId="23" w16cid:durableId="273831086">
    <w:abstractNumId w:val="20"/>
  </w:num>
  <w:num w:numId="24" w16cid:durableId="743796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04EF"/>
    <w:rsid w:val="00033043"/>
    <w:rsid w:val="00074B47"/>
    <w:rsid w:val="000B2F1E"/>
    <w:rsid w:val="000B6ECA"/>
    <w:rsid w:val="000C6039"/>
    <w:rsid w:val="000C6E1F"/>
    <w:rsid w:val="000E5643"/>
    <w:rsid w:val="000F2E32"/>
    <w:rsid w:val="000F4FFC"/>
    <w:rsid w:val="000F6CF3"/>
    <w:rsid w:val="0010617A"/>
    <w:rsid w:val="00113841"/>
    <w:rsid w:val="00151336"/>
    <w:rsid w:val="001573F0"/>
    <w:rsid w:val="00177F91"/>
    <w:rsid w:val="00180D38"/>
    <w:rsid w:val="00195753"/>
    <w:rsid w:val="001A72D4"/>
    <w:rsid w:val="001D3D92"/>
    <w:rsid w:val="0020419D"/>
    <w:rsid w:val="00211D4A"/>
    <w:rsid w:val="002245CA"/>
    <w:rsid w:val="00225049"/>
    <w:rsid w:val="00236535"/>
    <w:rsid w:val="00236CE7"/>
    <w:rsid w:val="0024199C"/>
    <w:rsid w:val="002708A7"/>
    <w:rsid w:val="00290E72"/>
    <w:rsid w:val="00297AE9"/>
    <w:rsid w:val="00297C4C"/>
    <w:rsid w:val="002C635D"/>
    <w:rsid w:val="002D2DB9"/>
    <w:rsid w:val="002E17D6"/>
    <w:rsid w:val="002E4709"/>
    <w:rsid w:val="002F3AB7"/>
    <w:rsid w:val="003041DF"/>
    <w:rsid w:val="00320E46"/>
    <w:rsid w:val="0033721A"/>
    <w:rsid w:val="00337368"/>
    <w:rsid w:val="00352714"/>
    <w:rsid w:val="00362C0D"/>
    <w:rsid w:val="003723E4"/>
    <w:rsid w:val="003731F8"/>
    <w:rsid w:val="003A768F"/>
    <w:rsid w:val="003B4F80"/>
    <w:rsid w:val="003B7188"/>
    <w:rsid w:val="003C65CE"/>
    <w:rsid w:val="003D1C5F"/>
    <w:rsid w:val="003E0739"/>
    <w:rsid w:val="003E4578"/>
    <w:rsid w:val="00403063"/>
    <w:rsid w:val="00414792"/>
    <w:rsid w:val="00424F66"/>
    <w:rsid w:val="00430467"/>
    <w:rsid w:val="004501F6"/>
    <w:rsid w:val="00471612"/>
    <w:rsid w:val="00477C65"/>
    <w:rsid w:val="00480781"/>
    <w:rsid w:val="00483462"/>
    <w:rsid w:val="004D3B0F"/>
    <w:rsid w:val="00530AFF"/>
    <w:rsid w:val="00536ED7"/>
    <w:rsid w:val="005421D0"/>
    <w:rsid w:val="005452C5"/>
    <w:rsid w:val="00551EDA"/>
    <w:rsid w:val="00552D7A"/>
    <w:rsid w:val="0055472C"/>
    <w:rsid w:val="00575A7C"/>
    <w:rsid w:val="005806BD"/>
    <w:rsid w:val="005811C6"/>
    <w:rsid w:val="00594F68"/>
    <w:rsid w:val="00595F22"/>
    <w:rsid w:val="005A7051"/>
    <w:rsid w:val="005B4652"/>
    <w:rsid w:val="005C45AE"/>
    <w:rsid w:val="005C4DD1"/>
    <w:rsid w:val="005E5C44"/>
    <w:rsid w:val="005E7822"/>
    <w:rsid w:val="005F36FE"/>
    <w:rsid w:val="00616BFC"/>
    <w:rsid w:val="0062303C"/>
    <w:rsid w:val="00643C68"/>
    <w:rsid w:val="00651B88"/>
    <w:rsid w:val="00654E36"/>
    <w:rsid w:val="00660C5C"/>
    <w:rsid w:val="006900BD"/>
    <w:rsid w:val="006A2BFD"/>
    <w:rsid w:val="006A39E5"/>
    <w:rsid w:val="006B0608"/>
    <w:rsid w:val="006B090D"/>
    <w:rsid w:val="006C2040"/>
    <w:rsid w:val="006C7065"/>
    <w:rsid w:val="006E51DB"/>
    <w:rsid w:val="006E69BA"/>
    <w:rsid w:val="00704BCF"/>
    <w:rsid w:val="00741A9D"/>
    <w:rsid w:val="00747BDE"/>
    <w:rsid w:val="00751BA9"/>
    <w:rsid w:val="00774227"/>
    <w:rsid w:val="007A4BB3"/>
    <w:rsid w:val="007A5392"/>
    <w:rsid w:val="007B680C"/>
    <w:rsid w:val="007C2A10"/>
    <w:rsid w:val="007C3716"/>
    <w:rsid w:val="007D430C"/>
    <w:rsid w:val="007F091D"/>
    <w:rsid w:val="007F1B9E"/>
    <w:rsid w:val="00811FE5"/>
    <w:rsid w:val="008354C2"/>
    <w:rsid w:val="0084659C"/>
    <w:rsid w:val="0085190B"/>
    <w:rsid w:val="008925C4"/>
    <w:rsid w:val="008A1A46"/>
    <w:rsid w:val="008A650B"/>
    <w:rsid w:val="008C22D3"/>
    <w:rsid w:val="008E71AE"/>
    <w:rsid w:val="008E7B03"/>
    <w:rsid w:val="008F3CE6"/>
    <w:rsid w:val="00911728"/>
    <w:rsid w:val="0091438A"/>
    <w:rsid w:val="00924FD0"/>
    <w:rsid w:val="009404DE"/>
    <w:rsid w:val="00982745"/>
    <w:rsid w:val="00990245"/>
    <w:rsid w:val="009A5D35"/>
    <w:rsid w:val="009B7998"/>
    <w:rsid w:val="009F1E14"/>
    <w:rsid w:val="00A11CB1"/>
    <w:rsid w:val="00A47477"/>
    <w:rsid w:val="00A565DD"/>
    <w:rsid w:val="00A61CAF"/>
    <w:rsid w:val="00A86CBC"/>
    <w:rsid w:val="00A87C3B"/>
    <w:rsid w:val="00A91614"/>
    <w:rsid w:val="00AA5EB3"/>
    <w:rsid w:val="00AB4117"/>
    <w:rsid w:val="00AE048F"/>
    <w:rsid w:val="00B00C92"/>
    <w:rsid w:val="00B14595"/>
    <w:rsid w:val="00B1555D"/>
    <w:rsid w:val="00B218A5"/>
    <w:rsid w:val="00B24823"/>
    <w:rsid w:val="00B259D8"/>
    <w:rsid w:val="00B359AC"/>
    <w:rsid w:val="00B428DE"/>
    <w:rsid w:val="00B52108"/>
    <w:rsid w:val="00B607DB"/>
    <w:rsid w:val="00B80ABB"/>
    <w:rsid w:val="00B9366B"/>
    <w:rsid w:val="00B94E61"/>
    <w:rsid w:val="00BA12BF"/>
    <w:rsid w:val="00BA448F"/>
    <w:rsid w:val="00BB11FE"/>
    <w:rsid w:val="00BB2847"/>
    <w:rsid w:val="00BC2CDC"/>
    <w:rsid w:val="00BE7F7F"/>
    <w:rsid w:val="00BF3576"/>
    <w:rsid w:val="00C02626"/>
    <w:rsid w:val="00C1605F"/>
    <w:rsid w:val="00C27787"/>
    <w:rsid w:val="00C46A33"/>
    <w:rsid w:val="00C84396"/>
    <w:rsid w:val="00C86BF2"/>
    <w:rsid w:val="00D065B3"/>
    <w:rsid w:val="00D24BE7"/>
    <w:rsid w:val="00D3291D"/>
    <w:rsid w:val="00D50231"/>
    <w:rsid w:val="00D555A6"/>
    <w:rsid w:val="00D56CE6"/>
    <w:rsid w:val="00D70AA0"/>
    <w:rsid w:val="00D84FE2"/>
    <w:rsid w:val="00D901CC"/>
    <w:rsid w:val="00DB638D"/>
    <w:rsid w:val="00DC17D3"/>
    <w:rsid w:val="00DC51E3"/>
    <w:rsid w:val="00DC6ACA"/>
    <w:rsid w:val="00DF25FB"/>
    <w:rsid w:val="00E0503B"/>
    <w:rsid w:val="00E12539"/>
    <w:rsid w:val="00E4406A"/>
    <w:rsid w:val="00E50731"/>
    <w:rsid w:val="00E57830"/>
    <w:rsid w:val="00E62D23"/>
    <w:rsid w:val="00E648D1"/>
    <w:rsid w:val="00E7161F"/>
    <w:rsid w:val="00E76FE3"/>
    <w:rsid w:val="00E943C4"/>
    <w:rsid w:val="00EA6E89"/>
    <w:rsid w:val="00EB41C0"/>
    <w:rsid w:val="00EE4683"/>
    <w:rsid w:val="00EF409F"/>
    <w:rsid w:val="00F0252E"/>
    <w:rsid w:val="00F047A9"/>
    <w:rsid w:val="00F12059"/>
    <w:rsid w:val="00F1250A"/>
    <w:rsid w:val="00F2016C"/>
    <w:rsid w:val="00F226C7"/>
    <w:rsid w:val="00F245E8"/>
    <w:rsid w:val="00F266BE"/>
    <w:rsid w:val="00F43300"/>
    <w:rsid w:val="00F45B0F"/>
    <w:rsid w:val="00F57E7B"/>
    <w:rsid w:val="00F62212"/>
    <w:rsid w:val="00F744F5"/>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4AD9B"/>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B0F"/>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paragraph" w:styleId="Heading5">
    <w:name w:val="heading 5"/>
    <w:basedOn w:val="Normal"/>
    <w:next w:val="Normal"/>
    <w:link w:val="Heading5Char"/>
    <w:uiPriority w:val="9"/>
    <w:semiHidden/>
    <w:unhideWhenUsed/>
    <w:qFormat/>
    <w:rsid w:val="00113841"/>
    <w:pPr>
      <w:keepNext/>
      <w:keepLines/>
      <w:spacing w:before="40" w:after="0"/>
      <w:outlineLvl w:val="4"/>
    </w:pPr>
    <w:rPr>
      <w:rFonts w:asciiTheme="majorHAnsi" w:eastAsiaTheme="majorEastAsia" w:hAnsiTheme="majorHAnsi" w:cstheme="majorBidi"/>
      <w:color w:val="00387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24823"/>
    <w:pPr>
      <w:ind w:left="720"/>
      <w:contextualSpacing/>
    </w:pPr>
  </w:style>
  <w:style w:type="paragraph" w:styleId="FootnoteText">
    <w:name w:val="footnote text"/>
    <w:basedOn w:val="Normal"/>
    <w:link w:val="FootnoteTextChar"/>
    <w:uiPriority w:val="99"/>
    <w:semiHidden/>
    <w:unhideWhenUsed/>
    <w:rsid w:val="001138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3841"/>
    <w:rPr>
      <w:rFonts w:ascii="Arial" w:hAnsi="Arial"/>
      <w:sz w:val="20"/>
      <w:szCs w:val="20"/>
    </w:rPr>
  </w:style>
  <w:style w:type="character" w:styleId="FootnoteReference">
    <w:name w:val="footnote reference"/>
    <w:basedOn w:val="DefaultParagraphFont"/>
    <w:uiPriority w:val="99"/>
    <w:semiHidden/>
    <w:unhideWhenUsed/>
    <w:rsid w:val="00113841"/>
    <w:rPr>
      <w:vertAlign w:val="superscript"/>
    </w:rPr>
  </w:style>
  <w:style w:type="character" w:customStyle="1" w:styleId="Heading5Char">
    <w:name w:val="Heading 5 Char"/>
    <w:basedOn w:val="DefaultParagraphFont"/>
    <w:link w:val="Heading5"/>
    <w:uiPriority w:val="9"/>
    <w:semiHidden/>
    <w:rsid w:val="00113841"/>
    <w:rPr>
      <w:rFonts w:asciiTheme="majorHAnsi" w:eastAsiaTheme="majorEastAsia" w:hAnsiTheme="majorHAnsi" w:cstheme="majorBidi"/>
      <w:color w:val="003874" w:themeColor="accent1" w:themeShade="BF"/>
      <w:sz w:val="22"/>
    </w:rPr>
  </w:style>
  <w:style w:type="paragraph" w:customStyle="1" w:styleId="label-large">
    <w:name w:val="label-large"/>
    <w:basedOn w:val="Normal"/>
    <w:rsid w:val="00113841"/>
    <w:pPr>
      <w:spacing w:before="100" w:beforeAutospacing="1" w:after="100" w:afterAutospacing="1" w:line="240" w:lineRule="auto"/>
    </w:pPr>
    <w:rPr>
      <w:rFonts w:ascii="Times New Roman" w:eastAsia="Times New Roman" w:hAnsi="Times New Roman" w:cs="Times New Roman"/>
      <w:sz w:val="24"/>
      <w:lang w:eastAsia="en-CA"/>
    </w:rPr>
  </w:style>
  <w:style w:type="paragraph" w:customStyle="1" w:styleId="text-medium">
    <w:name w:val="text-medium"/>
    <w:basedOn w:val="Normal"/>
    <w:rsid w:val="00113841"/>
    <w:pPr>
      <w:spacing w:before="100" w:beforeAutospacing="1" w:after="100" w:afterAutospacing="1" w:line="240" w:lineRule="auto"/>
    </w:pPr>
    <w:rPr>
      <w:rFonts w:ascii="Times New Roman" w:eastAsia="Times New Roman" w:hAnsi="Times New Roman" w:cs="Times New Roman"/>
      <w:sz w:val="24"/>
      <w:lang w:eastAsia="en-CA"/>
    </w:rPr>
  </w:style>
  <w:style w:type="character" w:styleId="FollowedHyperlink">
    <w:name w:val="FollowedHyperlink"/>
    <w:basedOn w:val="DefaultParagraphFont"/>
    <w:uiPriority w:val="99"/>
    <w:semiHidden/>
    <w:unhideWhenUsed/>
    <w:rsid w:val="00D90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1940525948">
      <w:bodyDiv w:val="1"/>
      <w:marLeft w:val="0"/>
      <w:marRight w:val="0"/>
      <w:marTop w:val="0"/>
      <w:marBottom w:val="0"/>
      <w:divBdr>
        <w:top w:val="none" w:sz="0" w:space="0" w:color="auto"/>
        <w:left w:val="none" w:sz="0" w:space="0" w:color="auto"/>
        <w:bottom w:val="none" w:sz="0" w:space="0" w:color="auto"/>
        <w:right w:val="none" w:sz="0" w:space="0" w:color="auto"/>
      </w:divBdr>
      <w:divsChild>
        <w:div w:id="1157578653">
          <w:marLeft w:val="0"/>
          <w:marRight w:val="0"/>
          <w:marTop w:val="0"/>
          <w:marBottom w:val="0"/>
          <w:divBdr>
            <w:top w:val="single" w:sz="2" w:space="0" w:color="auto"/>
            <w:left w:val="single" w:sz="2" w:space="0" w:color="auto"/>
            <w:bottom w:val="single" w:sz="2" w:space="0" w:color="auto"/>
            <w:right w:val="single" w:sz="2" w:space="0" w:color="auto"/>
          </w:divBdr>
        </w:div>
        <w:div w:id="322783560">
          <w:marLeft w:val="0"/>
          <w:marRight w:val="0"/>
          <w:marTop w:val="0"/>
          <w:marBottom w:val="0"/>
          <w:divBdr>
            <w:top w:val="single" w:sz="2" w:space="0" w:color="auto"/>
            <w:left w:val="single" w:sz="2" w:space="0" w:color="auto"/>
            <w:bottom w:val="single" w:sz="2" w:space="0" w:color="auto"/>
            <w:right w:val="single" w:sz="2" w:space="0" w:color="auto"/>
          </w:divBdr>
          <w:divsChild>
            <w:div w:id="104543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7.png"/><Relationship Id="rId21" Type="http://schemas.openxmlformats.org/officeDocument/2006/relationships/hyperlink" Target="http://www.tobiasadrian.com/" TargetMode="External"/><Relationship Id="rId34" Type="http://schemas.openxmlformats.org/officeDocument/2006/relationships/hyperlink" Target="https://github.com/CJRitschl/TMU"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tobiasadrian.com/"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brookings.edu/people/nellie-liang/" TargetMode="External"/><Relationship Id="rId20" Type="http://schemas.openxmlformats.org/officeDocument/2006/relationships/hyperlink" Target="https://www.brookings.edu/people/nellie-liang/"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bis.org/statistics/totcredit.htm"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150.statcan.gc.ca/n1/daily-quotidien/220301/dq220301a-eng.htm"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930</TotalTime>
  <Pages>13</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16064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Colin White</cp:lastModifiedBy>
  <cp:revision>13</cp:revision>
  <cp:lastPrinted>2016-05-18T13:48:00Z</cp:lastPrinted>
  <dcterms:created xsi:type="dcterms:W3CDTF">2023-10-14T23:45:00Z</dcterms:created>
  <dcterms:modified xsi:type="dcterms:W3CDTF">2023-10-20T03:22:00Z</dcterms:modified>
</cp:coreProperties>
</file>