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 w:line="360" w:lineRule="auto"/>
        <w:jc w:val="both"/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pPr>
      <w:r>
        <w:t>AO JUÍZO DA {{vara}} DA COMARCA DE {{comarca}}</w:t>
      </w:r>
    </w:p>
    <w:p>
      <w:pPr>
        <w:spacing w:after="0" w:line="360" w:lineRule="auto"/>
        <w:jc w:val="right"/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</w:rPr>
      </w:pPr>
    </w:p>
    <w:p>
      <w:pPr>
        <w:spacing w:after="0" w:line="360" w:lineRule="auto"/>
        <w:jc w:val="right"/>
        <w:rPr>
          <w:rFonts w:hint="default" w:ascii="Times New Roman" w:hAnsi="Times New Roman" w:eastAsia="Times New Roman" w:cs="Times New Roman"/>
          <w:b/>
          <w:sz w:val="24"/>
          <w:szCs w:val="24"/>
          <w:highlight w:val="yellow"/>
          <w:lang w:val="pt-BR"/>
        </w:rPr>
      </w:pPr>
      <w:r>
        <w:t>TRIAGEM SIGAD/SOLAR Nº {{triagemNumero}}</w:t>
      </w:r>
    </w:p>
    <w:p>
      <w:pPr>
        <w:spacing w:after="0" w:line="360" w:lineRule="auto"/>
        <w:jc w:val="right"/>
        <w:rPr>
          <w:rFonts w:hint="default" w:ascii="Times New Roman" w:hAnsi="Times New Roman" w:eastAsia="Times New Roman" w:cs="Times New Roman"/>
          <w:b/>
          <w:sz w:val="24"/>
          <w:szCs w:val="24"/>
          <w:highlight w:val="yellow"/>
        </w:rPr>
      </w:pPr>
    </w:p>
    <w:p>
      <w:pPr>
        <w:spacing w:after="0" w:line="360" w:lineRule="auto"/>
        <w:rPr>
          <w:rFonts w:hint="default" w:ascii="Times New Roman" w:hAnsi="Times New Roman" w:eastAsia="Times New Roman" w:cs="Times New Roman"/>
          <w:b/>
          <w:sz w:val="24"/>
          <w:szCs w:val="24"/>
          <w:highlight w:val="yellow"/>
          <w:lang w:val="pt-BR"/>
        </w:rPr>
      </w:pPr>
      <w:r>
        <w:t>Distribuição por dependência ao processo nº {{processoDependencia}}</w:t>
      </w:r>
    </w:p>
    <w:p>
      <w:pPr>
        <w:spacing w:after="0" w:line="360" w:lineRule="auto"/>
        <w:ind w:firstLine="1418"/>
        <w:jc w:val="right"/>
        <w:rPr>
          <w:rFonts w:hint="default" w:ascii="Times New Roman" w:hAnsi="Times New Roman" w:eastAsia="Times New Roman" w:cs="Times New Roman"/>
          <w:b/>
          <w:sz w:val="24"/>
          <w:szCs w:val="24"/>
          <w:highlight w:val="yellow"/>
        </w:rPr>
      </w:pPr>
    </w:p>
    <w:p>
      <w:pPr>
        <w:spacing w:after="0" w:line="360" w:lineRule="auto"/>
        <w:ind w:left="0" w:firstLine="132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  <w:r>
        <w:t>[{{exequente_nome}}, nascido(a) em {{exequente_dataNascimento}}, CPF {{exequente_cpf}}], neste ato representado(a) por [{{exequente_representante}}], assistido(a) pela DEFENSORIA PÚBLICA DO ESTADO DA BAHIA, com fundamento no art. 528, §§ 1º a 7º, do CPC, requerer o</w:t>
      </w:r>
    </w:p>
    <w:p>
      <w:pPr>
        <w:spacing w:after="0" w:line="360" w:lineRule="auto"/>
        <w:ind w:left="0" w:firstLine="0"/>
        <w:jc w:val="center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</w:p>
    <w:p>
      <w:pPr>
        <w:spacing w:after="0" w:line="360" w:lineRule="auto"/>
        <w:ind w:left="0" w:firstLine="0"/>
        <w:jc w:val="center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  <w:highlight w:val="none"/>
          <w:rtl w:val="0"/>
        </w:rPr>
        <w:t>CUMPRIMENTO DE SENTENÇA</w:t>
      </w:r>
    </w:p>
    <w:p>
      <w:pPr>
        <w:spacing w:after="0" w:line="360" w:lineRule="auto"/>
        <w:ind w:left="0" w:firstLine="0"/>
        <w:jc w:val="center"/>
        <w:rPr>
          <w:rFonts w:hint="default" w:ascii="Times New Roman" w:hAnsi="Times New Roman" w:eastAsia="Times New Roman" w:cs="Times New Roman"/>
          <w:b/>
          <w:i/>
          <w:color w:val="000000"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b/>
          <w:i/>
          <w:color w:val="000000"/>
          <w:sz w:val="24"/>
          <w:szCs w:val="24"/>
          <w:highlight w:val="none"/>
          <w:rtl w:val="0"/>
        </w:rPr>
        <w:t>(execução de alimentos - rito da prisão civil)</w:t>
      </w:r>
    </w:p>
    <w:p>
      <w:pPr>
        <w:spacing w:after="0" w:line="360" w:lineRule="auto"/>
        <w:ind w:left="0" w:firstLine="0"/>
        <w:jc w:val="center"/>
        <w:rPr>
          <w:rFonts w:hint="default" w:ascii="Times New Roman" w:hAnsi="Times New Roman" w:eastAsia="Times New Roman" w:cs="Times New Roman"/>
          <w:i/>
          <w:color w:val="000000"/>
          <w:sz w:val="24"/>
          <w:szCs w:val="24"/>
          <w:highlight w:val="none"/>
        </w:rPr>
      </w:pPr>
    </w:p>
    <w:p>
      <w:pPr>
        <w:spacing w:after="0" w:line="360" w:lineRule="auto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  <w:r>
        <w:t>em face de [{{executado_nome}}, CPF {{executado_cpf}}], pelos motivos de fato e de direito a seguir expostos:</w:t>
      </w:r>
    </w:p>
    <w:p>
      <w:pPr>
        <w:spacing w:after="0" w:line="360" w:lineRule="auto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</w:p>
    <w:p>
      <w:pPr>
        <w:spacing w:after="0" w:line="360" w:lineRule="auto"/>
        <w:jc w:val="both"/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  <w:rtl w:val="0"/>
        </w:rPr>
        <w:t>I. DAS PRERROGATIVAS INSTITUCIONAIS</w:t>
      </w:r>
    </w:p>
    <w:p>
      <w:pPr>
        <w:spacing w:after="0" w:line="360" w:lineRule="auto"/>
        <w:ind w:firstLine="1418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</w:p>
    <w:p>
      <w:pPr>
        <w:spacing w:after="0" w:line="360" w:lineRule="auto"/>
        <w:ind w:left="0" w:firstLine="132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 xml:space="preserve">Inicialmente, ressalta-se que por estar a parte exequente assistida pela Defensoria Pública do Estado da Bahia, é de direito a observância das prerrogativas funcionais desta instituição, tais como a contagem em dobro dos prazos processuais e a intimação pessoal dos Defensores Públicos, sob pena de nulidade dos atos praticados, em consonância com o art. 128, I, da Lei Complementar Federal nº 80 de 1994 c/c art. 148, II, da Lei Complementar Estadual nº 26 de 2006 e art. 186, </w:t>
      </w:r>
      <w:r>
        <w:rPr>
          <w:rFonts w:hint="default" w:ascii="Times New Roman" w:hAnsi="Times New Roman" w:eastAsia="Times New Roman" w:cs="Times New Roman"/>
          <w:i/>
          <w:sz w:val="24"/>
          <w:szCs w:val="24"/>
          <w:highlight w:val="none"/>
          <w:rtl w:val="0"/>
        </w:rPr>
        <w:t>caput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 xml:space="preserve"> e § 1º, do Código de Processo Civil.</w:t>
      </w:r>
    </w:p>
    <w:p>
      <w:pPr>
        <w:spacing w:after="0" w:line="360" w:lineRule="auto"/>
        <w:ind w:left="0" w:firstLine="132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</w:pPr>
    </w:p>
    <w:p>
      <w:pPr>
        <w:spacing w:after="0" w:line="360" w:lineRule="auto"/>
        <w:jc w:val="both"/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  <w:rtl w:val="0"/>
        </w:rPr>
        <w:t>II. DA GRATUIDADE DE JUSTIÇA</w:t>
      </w:r>
    </w:p>
    <w:p>
      <w:pPr>
        <w:spacing w:after="0" w:line="360" w:lineRule="auto"/>
        <w:ind w:firstLine="96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</w:p>
    <w:p>
      <w:pPr>
        <w:spacing w:after="0" w:line="360" w:lineRule="auto"/>
        <w:ind w:left="0" w:firstLine="132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>A parte exequente não possui recursos suficientes para pagar as custas, despesas processuais e honorários advocatícios, sem prejuízo do próprio sustento e de sua família, razão pela qual requer, em seu favor, a concessão do benefício da gratuidade da justiça, em sua integralidade, nos termos dos arts. 98 e seguintes do Código de Processo Civil.</w:t>
      </w:r>
    </w:p>
    <w:p>
      <w:pPr>
        <w:spacing w:after="0" w:line="360" w:lineRule="auto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</w:p>
    <w:p>
      <w:pPr>
        <w:spacing w:after="0" w:line="360" w:lineRule="auto"/>
        <w:jc w:val="both"/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  <w:rtl w:val="0"/>
        </w:rPr>
        <w:t>III. DA SÍNTESE DOS FATOS</w:t>
      </w:r>
    </w:p>
    <w:p>
      <w:pPr>
        <w:spacing w:after="0" w:line="360" w:lineRule="auto"/>
        <w:ind w:firstLine="1418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</w:p>
    <w:p>
      <w:pPr>
        <w:tabs>
          <w:tab w:val="left" w:pos="1843"/>
        </w:tabs>
        <w:spacing w:after="0" w:line="360" w:lineRule="auto"/>
        <w:ind w:left="0" w:leftChars="0" w:firstLine="1320" w:firstLineChars="55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>Conforme atesta o título executivo em anexo (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yellow"/>
          <w:rtl w:val="0"/>
        </w:rPr>
        <w:t xml:space="preserve">acordo homologado por sentença 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 xml:space="preserve">no processo nº 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yellow"/>
          <w:rtl w:val="0"/>
          <w:lang w:val="pt-BR"/>
        </w:rPr>
        <w:t>0000000000000000000000000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 xml:space="preserve">, que tramitou perante a 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yellow"/>
          <w:rtl w:val="0"/>
        </w:rPr>
        <w:t>1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 xml:space="preserve">ª Vara 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yellow"/>
          <w:rtl w:val="0"/>
        </w:rPr>
        <w:t>Cível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yellow"/>
          <w:rtl w:val="0"/>
          <w:lang w:val="pt-BR"/>
        </w:rPr>
        <w:t>/de Família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yellow"/>
          <w:rtl w:val="0"/>
        </w:rPr>
        <w:t xml:space="preserve"> desta Comarca)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>,</w:t>
      </w: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highlight w:val="none"/>
          <w:rtl w:val="0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  <w:rtl w:val="0"/>
          <w:lang w:val="pt-BR"/>
        </w:rPr>
        <w:t xml:space="preserve">a parte 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  <w:rtl w:val="0"/>
        </w:rPr>
        <w:t>executad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  <w:rtl w:val="0"/>
          <w:lang w:val="pt-BR"/>
        </w:rPr>
        <w:t>a</w:t>
      </w:r>
      <w:r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highlight w:val="none"/>
          <w:rtl w:val="0"/>
        </w:rPr>
        <w:t xml:space="preserve"> 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>é obrigad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  <w:lang w:val="pt-BR"/>
        </w:rPr>
        <w:t>a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 xml:space="preserve"> a prestar alimentos em favor da parte exequente em  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yellow"/>
          <w:rtl w:val="0"/>
          <w:lang w:val="pt-BR"/>
        </w:rPr>
        <w:t>00,00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 xml:space="preserve">% do salário mínimo, até o dia 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yellow"/>
          <w:rtl w:val="0"/>
          <w:lang w:val="pt-BR"/>
        </w:rPr>
        <w:t>00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 xml:space="preserve"> de cada mês.</w:t>
      </w:r>
    </w:p>
    <w:p>
      <w:pPr>
        <w:tabs>
          <w:tab w:val="left" w:pos="1843"/>
        </w:tabs>
        <w:spacing w:after="0" w:line="360" w:lineRule="auto"/>
        <w:ind w:left="0" w:leftChars="0" w:firstLine="1320" w:firstLineChars="55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</w:p>
    <w:p>
      <w:pPr>
        <w:spacing w:after="0" w:line="360" w:lineRule="auto"/>
        <w:ind w:left="0" w:leftChars="0" w:firstLine="1320" w:firstLineChars="550"/>
        <w:jc w:val="both"/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</w:rPr>
      </w:pPr>
      <w:bookmarkStart w:id="0" w:name="_heading=h.gjdgxs" w:colFirst="0" w:colLast="0"/>
      <w:bookmarkEnd w:id="0"/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 xml:space="preserve">Ocorre que 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  <w:rtl w:val="0"/>
          <w:lang w:val="pt-BR"/>
        </w:rPr>
        <w:t xml:space="preserve">a parte 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  <w:rtl w:val="0"/>
        </w:rPr>
        <w:t>executad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  <w:rtl w:val="0"/>
          <w:lang w:val="pt-BR"/>
        </w:rPr>
        <w:t>a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 xml:space="preserve"> não vem cumpri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shd w:val="clear" w:fill="auto"/>
          <w:rtl w:val="0"/>
        </w:rPr>
        <w:t xml:space="preserve">ndo com o determinado judicialmente. 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>Sendo assim, não restou alter</w:t>
      </w:r>
      <w:r>
        <w:rPr>
          <w:rFonts w:hint="default" w:ascii="Times New Roman" w:hAnsi="Times New Roman" w:eastAsia="Times New Roman" w:cs="Times New Roman"/>
          <w:b w:val="0"/>
          <w:sz w:val="24"/>
          <w:szCs w:val="24"/>
          <w:highlight w:val="none"/>
          <w:u w:val="none"/>
          <w:rtl w:val="0"/>
        </w:rPr>
        <w:t>nativa à parte exequente, senão requerer o presente cumprimento de sentença, com fulcro no art. 528, parágrafos 1º ao 7º, do Código de Processo Civil, a fim de ver satisfeito o débito das três prestações anteriores ao ajuizamento da execução</w:t>
      </w:r>
      <w:r>
        <w:rPr>
          <w:rFonts w:hint="default" w:ascii="Times New Roman" w:hAnsi="Times New Roman" w:eastAsia="Times New Roman" w:cs="Times New Roman"/>
          <w:b w:val="0"/>
          <w:sz w:val="24"/>
          <w:szCs w:val="24"/>
          <w:highlight w:val="none"/>
          <w:u w:val="none"/>
          <w:rtl w:val="0"/>
          <w:lang w:val="pt-BR"/>
        </w:rPr>
        <w:t xml:space="preserve"> e</w:t>
      </w:r>
      <w:r>
        <w:rPr>
          <w:rFonts w:hint="default" w:ascii="Times New Roman" w:hAnsi="Times New Roman" w:eastAsia="Times New Roman" w:cs="Times New Roman"/>
          <w:b w:val="0"/>
          <w:sz w:val="24"/>
          <w:szCs w:val="24"/>
          <w:highlight w:val="none"/>
          <w:u w:val="none"/>
          <w:rtl w:val="0"/>
        </w:rPr>
        <w:t xml:space="preserve"> as que se vencerem no curso do processo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>.</w:t>
      </w:r>
    </w:p>
    <w:p>
      <w:pPr>
        <w:spacing w:after="0" w:line="360" w:lineRule="auto"/>
        <w:jc w:val="both"/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</w:rPr>
      </w:pPr>
    </w:p>
    <w:p>
      <w:pPr>
        <w:spacing w:after="0" w:line="360" w:lineRule="auto"/>
        <w:jc w:val="both"/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  <w:rtl w:val="0"/>
        </w:rPr>
        <w:t>IV. DOS FUNDAMENTOS JURÍDICOS</w:t>
      </w:r>
    </w:p>
    <w:p>
      <w:pPr>
        <w:spacing w:after="0" w:line="360" w:lineRule="auto"/>
        <w:jc w:val="both"/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</w:rPr>
      </w:pPr>
    </w:p>
    <w:p>
      <w:pPr>
        <w:spacing w:after="0" w:line="360" w:lineRule="auto"/>
        <w:ind w:left="0" w:firstLine="1320"/>
        <w:jc w:val="both"/>
        <w:rPr>
          <w:rFonts w:hint="default" w:ascii="Times New Roman" w:hAnsi="Times New Roman" w:eastAsia="Times New Roman" w:cs="Times New Roman"/>
          <w:color w:val="000000"/>
          <w:sz w:val="24"/>
          <w:szCs w:val="24"/>
          <w:highlight w:val="none"/>
          <w:rtl w:val="0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highlight w:val="none"/>
          <w:rtl w:val="0"/>
        </w:rPr>
        <w:t>O caso em tela se amolda ao procedimento de cumprimento de sentença que reconhece a exigibilidade da obrigação de prestar alimentos, o qual é regido pelo Código de Processo Civil, nos seguintes termos:</w:t>
      </w:r>
    </w:p>
    <w:p>
      <w:pPr>
        <w:spacing w:after="0" w:line="360" w:lineRule="auto"/>
        <w:ind w:left="0" w:firstLine="1320"/>
        <w:jc w:val="both"/>
        <w:rPr>
          <w:rFonts w:hint="default" w:ascii="Times New Roman" w:hAnsi="Times New Roman" w:eastAsia="Times New Roman" w:cs="Times New Roman"/>
          <w:color w:val="000000"/>
          <w:sz w:val="24"/>
          <w:szCs w:val="24"/>
          <w:highlight w:val="none"/>
          <w:rtl w:val="0"/>
          <w:lang w:val="pt-BR"/>
        </w:rPr>
      </w:pPr>
    </w:p>
    <w:p>
      <w:pPr>
        <w:spacing w:after="0" w:line="240" w:lineRule="auto"/>
        <w:ind w:left="2268" w:firstLine="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  <w:highlight w:val="none"/>
          <w:rtl w:val="0"/>
        </w:rPr>
        <w:t>Art. 528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highlight w:val="none"/>
          <w:rtl w:val="0"/>
        </w:rPr>
        <w:t>. No cumprimento de sentença que condene ao pagamento de prestação alimentícia ou de decisão interlocutória que fixe alimentos, o juiz, a requerimento do exequente, mandará intimar o executado pessoalmente para, em 3 (três) dias, pagar o débito, provar que o fez ou justificar a impossibilidade de efetuá-lo. </w:t>
      </w:r>
    </w:p>
    <w:p>
      <w:pPr>
        <w:spacing w:after="0" w:line="240" w:lineRule="auto"/>
        <w:ind w:left="2268" w:firstLine="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  <w:highlight w:val="none"/>
          <w:rtl w:val="0"/>
        </w:rPr>
        <w:t>§ 1º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highlight w:val="none"/>
          <w:rtl w:val="0"/>
        </w:rPr>
        <w:t xml:space="preserve"> Caso o executado, no prazo referido no caput, não efetue o pagamento, não prove que o efetuou ou não apresente justificativa da impossibilidade de efetuá-lo, o juiz mandará protestar o pronunciamento judicial, aplicando-se, no que couber, o disposto no 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highlight w:val="none"/>
          <w:u w:val="none"/>
          <w:rtl w:val="0"/>
        </w:rPr>
        <w:t>art. 517. </w:t>
      </w:r>
    </w:p>
    <w:p>
      <w:pPr>
        <w:spacing w:after="0" w:line="240" w:lineRule="auto"/>
        <w:ind w:left="2268" w:firstLine="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  <w:highlight w:val="none"/>
          <w:rtl w:val="0"/>
        </w:rPr>
        <w:t>§ 2º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highlight w:val="none"/>
          <w:rtl w:val="0"/>
        </w:rPr>
        <w:t xml:space="preserve"> Somente a comprovação de fato que gere a impossibilidade absoluta de pagar justificará o inadimplemento. </w:t>
      </w:r>
    </w:p>
    <w:p>
      <w:pPr>
        <w:spacing w:after="0" w:line="240" w:lineRule="auto"/>
        <w:ind w:left="2268" w:firstLine="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  <w:highlight w:val="none"/>
          <w:rtl w:val="0"/>
        </w:rPr>
        <w:t>§ 3º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highlight w:val="none"/>
          <w:rtl w:val="0"/>
        </w:rPr>
        <w:t xml:space="preserve"> Se o executado não pagar ou se a justificativa apresentada não for aceita, o juiz, além de mandar protestar o pronunciamento judicial na forma do § 1º, decretar-lhe-á a prisão pelo prazo de 1 (um) a 3 (três) meses. </w:t>
      </w:r>
    </w:p>
    <w:p>
      <w:pPr>
        <w:spacing w:after="0" w:line="240" w:lineRule="auto"/>
        <w:ind w:left="2268" w:firstLine="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  <w:highlight w:val="none"/>
          <w:rtl w:val="0"/>
        </w:rPr>
        <w:t>§ 4º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highlight w:val="none"/>
          <w:rtl w:val="0"/>
        </w:rPr>
        <w:t xml:space="preserve"> A prisão será cumprida em regime fechado, devendo o preso ficar separado dos presos comuns. </w:t>
      </w:r>
    </w:p>
    <w:p>
      <w:pPr>
        <w:spacing w:after="0" w:line="240" w:lineRule="auto"/>
        <w:ind w:left="2268" w:firstLine="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  <w:highlight w:val="none"/>
          <w:rtl w:val="0"/>
        </w:rPr>
        <w:t>§ 5º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highlight w:val="none"/>
          <w:rtl w:val="0"/>
        </w:rPr>
        <w:t xml:space="preserve"> O cumprimento da pena não exime o executado do pagamento das prestações vencidas e vincendas.</w:t>
      </w:r>
    </w:p>
    <w:p>
      <w:pPr>
        <w:spacing w:after="0" w:line="240" w:lineRule="auto"/>
        <w:ind w:left="2268" w:firstLine="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  <w:highlight w:val="none"/>
          <w:rtl w:val="0"/>
        </w:rPr>
        <w:t>§ 6º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highlight w:val="none"/>
          <w:rtl w:val="0"/>
        </w:rPr>
        <w:t xml:space="preserve"> Paga a prestação alimentícia, o juiz suspenderá o cumprimento da ordem de prisão. </w:t>
      </w:r>
    </w:p>
    <w:p>
      <w:pPr>
        <w:spacing w:after="0" w:line="240" w:lineRule="auto"/>
        <w:ind w:left="2268" w:firstLine="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  <w:highlight w:val="none"/>
          <w:rtl w:val="0"/>
        </w:rPr>
        <w:t>§ 7º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highlight w:val="none"/>
          <w:rtl w:val="0"/>
        </w:rPr>
        <w:t xml:space="preserve"> O débito alimentar que autoriza a prisão civil do alimentante é o que compreende até as 3 (três) prestações anteriores ao ajuizamento da execução e as que se vencerem no curso do processo. </w:t>
      </w:r>
    </w:p>
    <w:p>
      <w:pPr>
        <w:spacing w:after="0" w:line="360" w:lineRule="auto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</w:p>
    <w:p>
      <w:pPr>
        <w:spacing w:after="0" w:line="360" w:lineRule="auto"/>
        <w:ind w:left="0" w:firstLine="1320"/>
        <w:jc w:val="both"/>
        <w:rPr>
          <w:rFonts w:hint="default"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highlight w:val="none"/>
          <w:rtl w:val="0"/>
        </w:rPr>
        <w:t>Assim, em consonância com o art. 5º, LXVII, da Constituição Federal e com a jurisprudência do Superior Tribunal de Justiça (Súmula nº 309), o Código de Processo Civil autoriza a constrição pessoal do devedor pelo rito da prisão pelo inadimplemento voluntário e inescusável de obrigação alimentícia quando o débito compreende até as 3 (três) prestações anteriores ao ajuizamento da execução, bem com as que se vencerem no curso do processo.</w:t>
      </w:r>
    </w:p>
    <w:p>
      <w:pPr>
        <w:spacing w:after="0" w:line="360" w:lineRule="auto"/>
        <w:ind w:left="0" w:firstLine="1320"/>
        <w:jc w:val="both"/>
        <w:rPr>
          <w:rFonts w:hint="default"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bookmarkStart w:id="1" w:name="_heading=h.30j0zll" w:colFirst="0" w:colLast="0"/>
      <w:bookmarkEnd w:id="1"/>
    </w:p>
    <w:p>
      <w:pPr>
        <w:spacing w:after="0" w:line="360" w:lineRule="auto"/>
        <w:ind w:left="0" w:firstLine="132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highlight w:val="none"/>
          <w:rtl w:val="0"/>
        </w:rPr>
        <w:t>Sendo assim, encontra-se fundamentado o pedido d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highlight w:val="none"/>
          <w:rtl w:val="0"/>
          <w:lang w:val="pt-BR"/>
        </w:rPr>
        <w:t>a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highlight w:val="none"/>
          <w:rtl w:val="0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highlight w:val="none"/>
          <w:rtl w:val="0"/>
          <w:lang w:val="pt-BR"/>
        </w:rPr>
        <w:t xml:space="preserve">parte 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highlight w:val="none"/>
          <w:rtl w:val="0"/>
        </w:rPr>
        <w:t xml:space="preserve">exequente, requerendo o cumprimento do título executivo, sob pena de prejuízos irreparáveis para 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>o desenvolvimento sadio e harmonioso em condições dignas de existência da criança.</w:t>
      </w:r>
    </w:p>
    <w:p>
      <w:pPr>
        <w:spacing w:after="0" w:line="360" w:lineRule="auto"/>
        <w:ind w:left="0" w:firstLine="132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</w:p>
    <w:p>
      <w:pPr>
        <w:spacing w:after="0" w:line="360" w:lineRule="auto"/>
        <w:jc w:val="both"/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  <w:highlight w:val="none"/>
          <w:rtl w:val="0"/>
        </w:rPr>
        <w:t xml:space="preserve">V. 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  <w:rtl w:val="0"/>
        </w:rPr>
        <w:t>DOS PEDIDOS</w:t>
      </w:r>
    </w:p>
    <w:p>
      <w:pPr>
        <w:spacing w:after="0" w:line="360" w:lineRule="auto"/>
        <w:ind w:firstLine="1418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</w:p>
    <w:p>
      <w:pPr>
        <w:spacing w:after="0" w:line="360" w:lineRule="auto"/>
        <w:ind w:left="0" w:firstLine="132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>Ante o exposto, requer:</w:t>
      </w:r>
    </w:p>
    <w:p>
      <w:pPr>
        <w:spacing w:after="0" w:line="360" w:lineRule="auto"/>
        <w:ind w:left="0" w:firstLine="132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tabs>
          <w:tab w:val="left" w:pos="284"/>
        </w:tabs>
        <w:spacing w:before="0" w:after="0" w:line="360" w:lineRule="auto"/>
        <w:ind w:left="0" w:right="0" w:firstLine="1320"/>
        <w:jc w:val="both"/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  <w:rtl w:val="0"/>
        </w:rPr>
        <w:t xml:space="preserve">o deferimento da </w:t>
      </w:r>
      <w:r>
        <w:rPr>
          <w:rFonts w:hint="default"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  <w:rtl w:val="0"/>
        </w:rPr>
        <w:t>justiça gratuita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  <w:rtl w:val="0"/>
        </w:rPr>
        <w:t xml:space="preserve">, bem como sejam observadas as </w:t>
      </w:r>
      <w:r>
        <w:rPr>
          <w:rFonts w:hint="default"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  <w:rtl w:val="0"/>
        </w:rPr>
        <w:t>prerrogativas dos membros da Defensoria Pública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  <w:rtl w:val="0"/>
        </w:rPr>
        <w:t xml:space="preserve"> de intimação pessoal e prazo em dobro;</w:t>
      </w:r>
    </w:p>
    <w:p>
      <w:pPr>
        <w:keepNext w:val="0"/>
        <w:keepLines w:val="0"/>
        <w:pageBreakBefore w:val="0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tabs>
          <w:tab w:val="left" w:pos="284"/>
        </w:tabs>
        <w:spacing w:before="0" w:after="0" w:line="360" w:lineRule="auto"/>
        <w:ind w:left="0" w:right="0" w:firstLine="1320"/>
        <w:jc w:val="both"/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tabs>
          <w:tab w:val="left" w:pos="284"/>
          <w:tab w:val="left" w:pos="426"/>
        </w:tabs>
        <w:spacing w:before="0" w:after="0" w:line="360" w:lineRule="auto"/>
        <w:ind w:left="0" w:right="0" w:firstLine="1320"/>
        <w:jc w:val="both"/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  <w:rtl w:val="0"/>
        </w:rPr>
        <w:t xml:space="preserve">a garantia de </w:t>
      </w:r>
      <w:r>
        <w:rPr>
          <w:rFonts w:hint="default"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  <w:rtl w:val="0"/>
        </w:rPr>
        <w:t>prioridade de tramitação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  <w:rtl w:val="0"/>
        </w:rPr>
        <w:t xml:space="preserve"> do feito, recebendo os autos identificação própria;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tabs>
          <w:tab w:val="left" w:pos="284"/>
        </w:tabs>
        <w:spacing w:before="0" w:after="0" w:line="360" w:lineRule="auto"/>
        <w:ind w:left="1320" w:leftChars="0" w:right="0" w:rightChars="0"/>
        <w:jc w:val="both"/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tabs>
          <w:tab w:val="left" w:pos="284"/>
        </w:tabs>
        <w:spacing w:before="0" w:after="0" w:line="360" w:lineRule="auto"/>
        <w:ind w:left="0" w:right="0" w:firstLine="132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  <w:rtl w:val="0"/>
        </w:rPr>
        <w:t xml:space="preserve">a </w:t>
      </w:r>
      <w:r>
        <w:rPr>
          <w:rFonts w:hint="default"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  <w:rtl w:val="0"/>
        </w:rPr>
        <w:t>intimação do Ministério Público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  <w:rtl w:val="0"/>
        </w:rPr>
        <w:t>, para acompanhar todos os atos do processo;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tabs>
          <w:tab w:val="left" w:pos="284"/>
        </w:tabs>
        <w:spacing w:before="0" w:after="0" w:line="360" w:lineRule="auto"/>
        <w:ind w:left="1320" w:leftChars="0" w:right="0" w:rightChars="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tabs>
          <w:tab w:val="left" w:pos="284"/>
        </w:tabs>
        <w:spacing w:before="0" w:after="0" w:line="360" w:lineRule="auto"/>
        <w:ind w:left="0" w:right="0" w:firstLine="132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  <w:r>
        <w:t>a citação pessoal da parte executada para, em 3 (três) dias, pagar o débito de R$ 00,00 (valor por extenso), referente ao período de {{periodoDevedor}}, mediante depósito/transferência, no seguinte endereço bancário: dados bancários, conta e/ou chave PIX, bem como das prestações que se vencerem ao longo do processo, devidamente atualizadas até a data do efetivo pagamento, provar que o fez ou justificar a impossibilidade de efetuá-lo, sob pena de prisão de 1 (um) a 3 (três) meses em regime fechado, como determina o art. 528, §§ 3º, 4º, 5º e 7º do CPC;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tabs>
          <w:tab w:val="left" w:pos="284"/>
        </w:tabs>
        <w:spacing w:before="0" w:after="0" w:line="360" w:lineRule="auto"/>
        <w:ind w:left="1320" w:leftChars="0" w:right="0" w:rightChars="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tabs>
          <w:tab w:val="left" w:pos="284"/>
        </w:tabs>
        <w:spacing w:before="0" w:after="0" w:line="360" w:lineRule="auto"/>
        <w:ind w:left="0" w:right="0" w:firstLine="1320"/>
        <w:jc w:val="both"/>
        <w:rPr>
          <w:rFonts w:hint="default" w:ascii="Times New Roman" w:hAnsi="Times New Roman" w:eastAsia="Times New Roman" w:cs="Times New Roman"/>
          <w:b w:val="0"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 xml:space="preserve">seja determinado o 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  <w:rtl w:val="0"/>
        </w:rPr>
        <w:t>protesto do pronunciamento judicial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 xml:space="preserve">, conforme art. 517, § 3º, do CPC, e determinada 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  <w:rtl w:val="0"/>
        </w:rPr>
        <w:t xml:space="preserve">inclusão do nome </w:t>
      </w:r>
      <w:r>
        <w:rPr>
          <w:rFonts w:hint="default" w:ascii="Times New Roman" w:hAnsi="Times New Roman" w:eastAsia="Times New Roman" w:cs="Times New Roman"/>
          <w:b/>
          <w:bCs w:val="0"/>
          <w:sz w:val="24"/>
          <w:szCs w:val="24"/>
          <w:highlight w:val="none"/>
          <w:rtl w:val="0"/>
          <w:lang w:val="pt-BR"/>
        </w:rPr>
        <w:t>d</w:t>
      </w:r>
      <w:r>
        <w:rPr>
          <w:rFonts w:hint="default" w:ascii="Times New Roman" w:hAnsi="Times New Roman" w:eastAsia="Times New Roman" w:cs="Times New Roman"/>
          <w:b/>
          <w:bCs w:val="0"/>
          <w:color w:val="000000"/>
          <w:sz w:val="24"/>
          <w:szCs w:val="24"/>
          <w:highlight w:val="none"/>
          <w:rtl w:val="0"/>
          <w:lang w:val="pt-BR"/>
        </w:rPr>
        <w:t xml:space="preserve">a parte </w:t>
      </w:r>
      <w:r>
        <w:rPr>
          <w:rFonts w:hint="default" w:ascii="Times New Roman" w:hAnsi="Times New Roman" w:eastAsia="Times New Roman" w:cs="Times New Roman"/>
          <w:b/>
          <w:bCs w:val="0"/>
          <w:color w:val="000000"/>
          <w:sz w:val="24"/>
          <w:szCs w:val="24"/>
          <w:highlight w:val="none"/>
          <w:rtl w:val="0"/>
        </w:rPr>
        <w:t>executad</w:t>
      </w:r>
      <w:r>
        <w:rPr>
          <w:rFonts w:hint="default" w:ascii="Times New Roman" w:hAnsi="Times New Roman" w:eastAsia="Times New Roman" w:cs="Times New Roman"/>
          <w:b/>
          <w:bCs w:val="0"/>
          <w:color w:val="000000"/>
          <w:sz w:val="24"/>
          <w:szCs w:val="24"/>
          <w:highlight w:val="none"/>
          <w:rtl w:val="0"/>
          <w:lang w:val="pt-BR"/>
        </w:rPr>
        <w:t>a</w:t>
      </w:r>
      <w:r>
        <w:rPr>
          <w:rFonts w:hint="default" w:ascii="Times New Roman" w:hAnsi="Times New Roman" w:eastAsia="Times New Roman" w:cs="Times New Roman"/>
          <w:b/>
          <w:bCs w:val="0"/>
          <w:sz w:val="24"/>
          <w:szCs w:val="24"/>
          <w:highlight w:val="none"/>
          <w:rtl w:val="0"/>
        </w:rPr>
        <w:t xml:space="preserve"> 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  <w:rtl w:val="0"/>
        </w:rPr>
        <w:t>em cadastros de inadimplentes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 xml:space="preserve"> (a exemplo do SPC e SERASA), nos termos do art. 782, § 3º, c/c art. 771 do CPC, em caso de não pagamento do débito dentro do prazo fixado no item anterior, sem prejuízo da prisão civil e de outros meios executivos que esse Juízo repute eficazes para a satisfação do crédito;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tabs>
          <w:tab w:val="left" w:pos="284"/>
        </w:tabs>
        <w:spacing w:before="0" w:after="0" w:line="360" w:lineRule="auto"/>
        <w:ind w:left="1320" w:leftChars="0" w:right="0" w:rightChars="0"/>
        <w:jc w:val="both"/>
        <w:rPr>
          <w:rFonts w:hint="default" w:ascii="Times New Roman" w:hAnsi="Times New Roman" w:eastAsia="Times New Roman" w:cs="Times New Roman"/>
          <w:b w:val="0"/>
          <w:sz w:val="24"/>
          <w:szCs w:val="24"/>
          <w:highlight w:val="none"/>
        </w:rPr>
      </w:pP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tabs>
          <w:tab w:val="left" w:pos="284"/>
        </w:tabs>
        <w:spacing w:before="0" w:after="0" w:line="360" w:lineRule="auto"/>
        <w:ind w:left="0" w:right="0" w:firstLine="1320"/>
        <w:jc w:val="both"/>
        <w:rPr>
          <w:rFonts w:hint="default" w:ascii="Times New Roman" w:hAnsi="Times New Roman" w:eastAsia="Times New Roman" w:cs="Times New Roman"/>
          <w:b w:val="0"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  <w:rtl w:val="0"/>
        </w:rPr>
        <w:t xml:space="preserve">o envio de ofício ao INSS e à CEF, 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 xml:space="preserve">para verificar se 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  <w:rtl w:val="0"/>
          <w:lang w:val="pt-BR"/>
        </w:rPr>
        <w:t xml:space="preserve">a parte 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  <w:rtl w:val="0"/>
        </w:rPr>
        <w:t>executad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sz w:val="24"/>
          <w:szCs w:val="24"/>
          <w:highlight w:val="none"/>
          <w:rtl w:val="0"/>
          <w:lang w:val="pt-BR"/>
        </w:rPr>
        <w:t xml:space="preserve">a 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>possui algum vínculo formal de emprego ou benefício assistencial/previdenciário e, caso positivo, seja determinado o desconto em folha de pagamento, conforme artigo 529 do CPC;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fill="auto"/>
        <w:tabs>
          <w:tab w:val="left" w:pos="284"/>
        </w:tabs>
        <w:spacing w:before="0" w:after="0" w:line="360" w:lineRule="auto"/>
        <w:ind w:right="0" w:rightChars="0"/>
        <w:jc w:val="both"/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  <w:lang w:val="pt-BR"/>
        </w:rPr>
      </w:pP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red"/>
          <w:u w:val="none"/>
          <w:shd w:val="clear" w:fill="auto"/>
          <w:vertAlign w:val="baseline"/>
          <w:rtl w:val="0"/>
          <w:lang w:val="pt-BR"/>
        </w:rPr>
        <w:t>SE OUVER VINCULO EMPREGATÍCIO &gt;&gt;&gt;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none"/>
          <w:u w:val="none"/>
          <w:shd w:val="clear" w:fill="auto"/>
          <w:vertAlign w:val="baseline"/>
          <w:rtl w:val="0"/>
          <w:lang w:val="pt-BR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  <w:lang w:val="pt-BR"/>
        </w:rPr>
        <w:t xml:space="preserve">o envio de </w:t>
      </w:r>
      <w:r>
        <w:rPr>
          <w:rFonts w:hint="default" w:ascii="Times New Roman" w:hAnsi="Times New Roman" w:eastAsia="Times New Roman" w:cs="Times New Roman"/>
          <w:b/>
          <w:bCs/>
          <w:i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ofício </w:t>
      </w:r>
      <w:r>
        <w:rPr>
          <w:rFonts w:hint="default"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ao </w:t>
      </w:r>
      <w:r>
        <w:rPr>
          <w:rFonts w:hint="default"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  <w:lang w:val="pt-BR"/>
        </w:rPr>
        <w:t xml:space="preserve">ente empregador do(a) executado(a) </w:t>
      </w:r>
      <w:r>
        <w:rPr>
          <w:rFonts w:hint="default" w:ascii="Times New Roman" w:hAnsi="Times New Roman" w:eastAsia="Times New Roman" w:cs="Times New Roman"/>
          <w:b w:val="0"/>
          <w:bCs/>
          <w:i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  <w:lang w:val="pt-BR"/>
        </w:rPr>
        <w:t xml:space="preserve">[NOME DO ENTE, </w:t>
      </w:r>
      <w:r>
        <w:rPr>
          <w:rFonts w:hint="default" w:ascii="Times New Roman" w:hAnsi="Times New Roman" w:eastAsia="Times New Roman" w:cs="Times New Roman"/>
          <w:b w:val="0"/>
          <w:bCs/>
          <w:i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  <w:lang w:val="pt-BR"/>
        </w:rPr>
        <w:t>endereço profissional e eletrônico</w:t>
      </w:r>
      <w:r>
        <w:rPr>
          <w:rFonts w:hint="default" w:ascii="Times New Roman" w:hAnsi="Times New Roman" w:eastAsia="Times New Roman" w:cs="Times New Roman"/>
          <w:b w:val="0"/>
          <w:bCs/>
          <w:i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  <w:lang w:val="pt-BR"/>
        </w:rPr>
        <w:t>]</w:t>
      </w:r>
      <w:r>
        <w:rPr>
          <w:rFonts w:hint="default" w:ascii="Times New Roman" w:hAnsi="Times New Roman" w:eastAsia="Times New Roman" w:cs="Times New Roman"/>
          <w:b w:val="0"/>
          <w:bCs/>
          <w:i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, 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 xml:space="preserve">a fim de que 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  <w:lang w:val="pt-BR"/>
        </w:rPr>
        <w:t xml:space="preserve">as parcelas vincendas sejam descontadas diretamente em folha de pagamento, 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</w:rPr>
        <w:t>com fulcro no art. 529 do CPC</w:t>
      </w:r>
      <w:r>
        <w:rPr>
          <w:rFonts w:hint="default"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shd w:val="clear" w:fill="auto"/>
          <w:vertAlign w:val="baseline"/>
          <w:rtl w:val="0"/>
          <w:lang w:val="pt-BR"/>
        </w:rPr>
        <w:t>;</w:t>
      </w:r>
    </w:p>
    <w:p>
      <w:pPr>
        <w:numPr>
          <w:ilvl w:val="0"/>
          <w:numId w:val="0"/>
        </w:numPr>
        <w:spacing w:after="0" w:line="360" w:lineRule="auto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</w:pPr>
    </w:p>
    <w:p>
      <w:pPr>
        <w:numPr>
          <w:ilvl w:val="0"/>
          <w:numId w:val="1"/>
        </w:numPr>
        <w:spacing w:after="0" w:line="360" w:lineRule="auto"/>
        <w:ind w:left="0" w:leftChars="0" w:firstLine="1320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 xml:space="preserve">a 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  <w:rtl w:val="0"/>
        </w:rPr>
        <w:t>condenação</w:t>
      </w:r>
      <w:r>
        <w:rPr>
          <w:rFonts w:hint="default" w:ascii="Times New Roman" w:hAnsi="Times New Roman" w:eastAsia="Times New Roman" w:cs="Times New Roman"/>
          <w:b/>
          <w:bCs w:val="0"/>
          <w:sz w:val="24"/>
          <w:szCs w:val="24"/>
          <w:highlight w:val="none"/>
          <w:rtl w:val="0"/>
        </w:rPr>
        <w:t xml:space="preserve"> d</w:t>
      </w:r>
      <w:r>
        <w:rPr>
          <w:rFonts w:hint="default" w:ascii="Times New Roman" w:hAnsi="Times New Roman" w:eastAsia="Times New Roman" w:cs="Times New Roman"/>
          <w:b/>
          <w:bCs w:val="0"/>
          <w:color w:val="000000"/>
          <w:sz w:val="24"/>
          <w:szCs w:val="24"/>
          <w:highlight w:val="none"/>
          <w:rtl w:val="0"/>
          <w:lang w:val="pt-BR"/>
        </w:rPr>
        <w:t xml:space="preserve">a parte </w:t>
      </w:r>
      <w:r>
        <w:rPr>
          <w:rFonts w:hint="default" w:ascii="Times New Roman" w:hAnsi="Times New Roman" w:eastAsia="Times New Roman" w:cs="Times New Roman"/>
          <w:b/>
          <w:bCs w:val="0"/>
          <w:color w:val="000000"/>
          <w:sz w:val="24"/>
          <w:szCs w:val="24"/>
          <w:highlight w:val="none"/>
          <w:rtl w:val="0"/>
        </w:rPr>
        <w:t>executad</w:t>
      </w:r>
      <w:r>
        <w:rPr>
          <w:rFonts w:hint="default" w:ascii="Times New Roman" w:hAnsi="Times New Roman" w:eastAsia="Times New Roman" w:cs="Times New Roman"/>
          <w:b/>
          <w:bCs w:val="0"/>
          <w:color w:val="000000"/>
          <w:sz w:val="24"/>
          <w:szCs w:val="24"/>
          <w:highlight w:val="none"/>
          <w:rtl w:val="0"/>
          <w:lang w:val="pt-BR"/>
        </w:rPr>
        <w:t>a</w:t>
      </w:r>
      <w:r>
        <w:rPr>
          <w:rFonts w:hint="default" w:ascii="Times New Roman" w:hAnsi="Times New Roman" w:eastAsia="Times New Roman" w:cs="Times New Roman"/>
          <w:b/>
          <w:bCs w:val="0"/>
          <w:sz w:val="24"/>
          <w:szCs w:val="24"/>
          <w:highlight w:val="none"/>
          <w:rtl w:val="0"/>
        </w:rPr>
        <w:t xml:space="preserve"> 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  <w:rtl w:val="0"/>
        </w:rPr>
        <w:t>ao pagamento das custas processuais e honorários de sucumbência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>, nos termos do artigo 85, § 2º, do CPC, sendo que estes deverão ser revertidos em favor do Fundo de Assistência Judiciária da Defensoria Pública do Estado da Bahia – FAJDPE/BA, com fulcro no art. 265 da Lei Complementar nº 26/2006 e inciso I do art. 3º da Lei 11.045/2009, mediante pagamento no Banco do Brasil, Agência n° 3832-6, Conta n° 992831-6, chave PIX (e-mail) central.honorarios@defensoria.ba.def.br, favorecido DPE BB ARRECAD FAJDPE BA, CNPJ 07.778.585/0001-14;</w:t>
      </w:r>
    </w:p>
    <w:p>
      <w:pPr>
        <w:numPr>
          <w:ilvl w:val="0"/>
          <w:numId w:val="0"/>
        </w:numPr>
        <w:spacing w:after="0" w:line="360" w:lineRule="auto"/>
        <w:ind w:left="1320" w:leftChars="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</w:p>
    <w:p>
      <w:pPr>
        <w:numPr>
          <w:ilvl w:val="0"/>
          <w:numId w:val="1"/>
        </w:numPr>
        <w:spacing w:after="0" w:line="360" w:lineRule="auto"/>
        <w:ind w:left="0" w:leftChars="0" w:firstLine="1320" w:firstLineChars="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 xml:space="preserve">seja determinada a </w:t>
      </w:r>
      <w:r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  <w:rtl w:val="0"/>
        </w:rPr>
        <w:t>intimação pessoal da parte exequente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 xml:space="preserve"> sempre que qualquer ato processual depender de providência ou informação que somente por ela possa ser realizada ou prestada, nos termos do art. 186, § 2º, do CPC.</w:t>
      </w:r>
    </w:p>
    <w:p>
      <w:pPr>
        <w:spacing w:after="0" w:line="360" w:lineRule="auto"/>
        <w:ind w:left="0" w:firstLine="132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</w:p>
    <w:p>
      <w:pPr>
        <w:spacing w:after="0" w:line="360" w:lineRule="auto"/>
        <w:ind w:left="0" w:firstLine="132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>Protesta pela produção de todos os meios de provas em direito admitidos.</w:t>
      </w:r>
    </w:p>
    <w:p>
      <w:pPr>
        <w:spacing w:after="0" w:line="360" w:lineRule="auto"/>
        <w:ind w:left="0" w:firstLine="132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</w:p>
    <w:p>
      <w:pPr>
        <w:spacing w:after="0" w:line="360" w:lineRule="auto"/>
        <w:ind w:left="0" w:firstLine="132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>Dá-se à causa o valo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shd w:val="clear" w:fill="auto"/>
          <w:rtl w:val="0"/>
        </w:rPr>
        <w:t xml:space="preserve">r de 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yellow"/>
          <w:rtl w:val="0"/>
        </w:rPr>
        <w:t xml:space="preserve">R$ 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yellow"/>
          <w:rtl w:val="0"/>
          <w:lang w:val="pt-BR"/>
        </w:rPr>
        <w:t>00,00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yellow"/>
          <w:rtl w:val="0"/>
        </w:rPr>
        <w:t xml:space="preserve"> (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yellow"/>
          <w:rtl w:val="0"/>
          <w:lang w:val="pt-BR"/>
        </w:rPr>
        <w:t>valor por extenso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yellow"/>
          <w:rtl w:val="0"/>
        </w:rPr>
        <w:t>)</w:t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>.</w:t>
      </w:r>
    </w:p>
    <w:p>
      <w:pPr>
        <w:spacing w:after="0" w:line="360" w:lineRule="auto"/>
        <w:ind w:left="0" w:firstLine="1320"/>
        <w:jc w:val="both"/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</w:pPr>
    </w:p>
    <w:p>
      <w:pPr>
        <w:spacing w:after="0" w:line="360" w:lineRule="auto"/>
        <w:ind w:left="0" w:firstLine="19"/>
        <w:jc w:val="center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>Nestes termos, pede deferimento.</w:t>
      </w:r>
    </w:p>
    <w:p>
      <w:pPr>
        <w:spacing w:after="0" w:line="360" w:lineRule="auto"/>
        <w:ind w:left="0" w:firstLine="19"/>
        <w:jc w:val="center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</w:p>
    <w:p>
      <w:pPr>
        <w:spacing w:after="0" w:line="360" w:lineRule="auto"/>
        <w:ind w:left="0" w:firstLine="19"/>
        <w:jc w:val="center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  <w:r>
        <w:t>{{cidadeDataAssinatura}}, datado e assinado eletronicamente.</w:t>
      </w:r>
    </w:p>
    <w:p>
      <w:pPr>
        <w:spacing w:after="0" w:line="360" w:lineRule="auto"/>
        <w:ind w:left="0" w:firstLine="19"/>
        <w:jc w:val="center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</w:p>
    <w:p>
      <w:pPr>
        <w:spacing w:after="0" w:line="360" w:lineRule="auto"/>
        <w:ind w:left="0" w:firstLine="19"/>
        <w:jc w:val="center"/>
        <w:rPr>
          <w:rFonts w:hint="default" w:ascii="Times New Roman" w:hAnsi="Times New Roman" w:eastAsia="Times New Roman" w:cs="Times New Roman"/>
          <w:sz w:val="24"/>
          <w:szCs w:val="24"/>
          <w:highlight w:val="none"/>
        </w:rPr>
      </w:pPr>
    </w:p>
    <w:p>
      <w:pPr>
        <w:tabs>
          <w:tab w:val="left" w:pos="0"/>
          <w:tab w:val="left" w:pos="880"/>
        </w:tabs>
        <w:spacing w:after="0" w:line="360" w:lineRule="auto"/>
        <w:ind w:firstLine="19"/>
        <w:jc w:val="center"/>
        <w:rPr>
          <w:rFonts w:hint="default" w:ascii="Times New Roman" w:hAnsi="Times New Roman" w:eastAsia="Times New Roman" w:cs="Times New Roman"/>
          <w:b/>
          <w:sz w:val="24"/>
          <w:szCs w:val="24"/>
          <w:highlight w:val="none"/>
          <w:rtl w:val="0"/>
        </w:rPr>
      </w:pPr>
      <w:r>
        <w:t>{{defensoraNome}}</w:t>
      </w:r>
    </w:p>
    <w:p>
      <w:pPr>
        <w:tabs>
          <w:tab w:val="left" w:pos="0"/>
          <w:tab w:val="left" w:pos="880"/>
        </w:tabs>
        <w:spacing w:after="0" w:line="360" w:lineRule="auto"/>
        <w:ind w:firstLine="19"/>
        <w:jc w:val="center"/>
        <w:rPr>
          <w:rFonts w:hint="default" w:ascii="Times New Roman" w:hAnsi="Times New Roman" w:eastAsia="Times New Roman" w:cs="Times New Roman"/>
          <w:sz w:val="24"/>
          <w:szCs w:val="24"/>
          <w:highlight w:val="none"/>
          <w:lang w:val="pt-BR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rtl w:val="0"/>
        </w:rPr>
        <w:t>Defensora Pública do Estado da Bahia</w:t>
      </w:r>
    </w:p>
    <w:sectPr>
      <w:headerReference r:id="rId5" w:type="default"/>
      <w:footerReference r:id="rId6" w:type="default"/>
      <w:type w:val="continuous"/>
      <w:pgSz w:w="11906" w:h="16838"/>
      <w:pgMar w:top="1701" w:right="1134" w:bottom="1134" w:left="1701" w:header="709" w:footer="709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252"/>
        <w:tab w:val="right" w:pos="8504"/>
      </w:tabs>
      <w:spacing w:after="0" w:line="240" w:lineRule="auto"/>
      <w:jc w:val="center"/>
      <w:rPr>
        <w:rFonts w:ascii="Arial" w:hAnsi="Arial" w:eastAsia="Arial" w:cs="Arial"/>
        <w:color w:val="000000"/>
        <w:sz w:val="20"/>
        <w:szCs w:val="20"/>
      </w:rPr>
    </w:pPr>
  </w:p>
  <w:p>
    <w:pPr>
      <w:spacing w:after="0" w:line="240" w:lineRule="auto"/>
      <w:jc w:val="center"/>
      <w:rPr>
        <w:sz w:val="20"/>
        <w:szCs w:val="20"/>
      </w:rPr>
    </w:pPr>
    <w:r>
      <w:rPr>
        <w:sz w:val="20"/>
        <w:szCs w:val="20"/>
        <w:rtl w:val="0"/>
      </w:rPr>
      <w:t>Rua Águas Claras,  523, Bairro Bela Vista, CEP 45990-280, Teixeira de Freitas/BA</w:t>
    </w:r>
  </w:p>
  <w:p>
    <w:pPr>
      <w:spacing w:after="0" w:line="240" w:lineRule="auto"/>
      <w:jc w:val="center"/>
      <w:rPr>
        <w:sz w:val="20"/>
        <w:szCs w:val="20"/>
      </w:rPr>
    </w:pPr>
    <w:r>
      <w:rPr>
        <w:sz w:val="20"/>
        <w:szCs w:val="20"/>
        <w:rtl w:val="0"/>
      </w:rPr>
      <w:t>Tel.: (73) 32</w:t>
    </w:r>
    <w:r>
      <w:rPr>
        <w:rFonts w:hint="default"/>
        <w:sz w:val="20"/>
        <w:szCs w:val="20"/>
        <w:rtl w:val="0"/>
        <w:lang w:val="pt-BR"/>
      </w:rPr>
      <w:t>92-1565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widowControl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fill="auto"/>
      <w:tabs>
        <w:tab w:val="center" w:pos="4252"/>
        <w:tab w:val="right" w:pos="8504"/>
      </w:tabs>
      <w:spacing w:before="0" w:after="0" w:line="240" w:lineRule="auto"/>
      <w:ind w:left="0" w:right="0" w:firstLine="0"/>
      <w:jc w:val="center"/>
      <w:rPr>
        <w:rFonts w:ascii="Calibri" w:hAnsi="Calibri" w:eastAsia="Calibri" w:cs="Calibri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  <w:drawing>
        <wp:inline distT="0" distB="0" distL="0" distR="0">
          <wp:extent cx="1501140" cy="933450"/>
          <wp:effectExtent l="0" t="0" r="0" b="0"/>
          <wp:docPr id="2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1.png"/>
                  <pic:cNvPicPr preferRelativeResize="0"/>
                </pic:nvPicPr>
                <pic:blipFill>
                  <a:blip r:embed="rId1"/>
                  <a:srcRect b="19008"/>
                  <a:stretch>
                    <a:fillRect/>
                  </a:stretch>
                </pic:blipFill>
                <pic:spPr>
                  <a:xfrm>
                    <a:off x="0" y="0"/>
                    <a:ext cx="1501140" cy="933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keepNext w:val="0"/>
      <w:keepLines w:val="0"/>
      <w:widowControl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fill="auto"/>
      <w:tabs>
        <w:tab w:val="center" w:pos="4252"/>
        <w:tab w:val="right" w:pos="8504"/>
      </w:tabs>
      <w:spacing w:before="0" w:after="0" w:line="240" w:lineRule="auto"/>
      <w:ind w:left="0" w:right="0" w:firstLine="0"/>
      <w:jc w:val="center"/>
      <w:rPr>
        <w:rFonts w:ascii="Calibri" w:hAnsi="Calibri" w:eastAsia="Calibri" w:cs="Calibri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sz w:val="24"/>
        <w:szCs w:val="24"/>
      </w:rPr>
    </w:lvl>
    <w:lvl w:ilvl="1" w:tentative="0">
      <w:start w:val="1"/>
      <w:numFmt w:val="lowerLetter"/>
      <w:lvlText w:val="%2."/>
      <w:lvlJc w:val="left"/>
      <w:pPr>
        <w:ind w:left="2148" w:hanging="360"/>
      </w:pPr>
    </w:lvl>
    <w:lvl w:ilvl="2" w:tentative="0">
      <w:start w:val="1"/>
      <w:numFmt w:val="lowerRoman"/>
      <w:lvlText w:val="%3."/>
      <w:lvlJc w:val="right"/>
      <w:pPr>
        <w:ind w:left="2868" w:hanging="180"/>
      </w:pPr>
    </w:lvl>
    <w:lvl w:ilvl="3" w:tentative="0">
      <w:start w:val="1"/>
      <w:numFmt w:val="decimal"/>
      <w:lvlText w:val="%4."/>
      <w:lvlJc w:val="left"/>
      <w:pPr>
        <w:ind w:left="3588" w:hanging="360"/>
      </w:pPr>
    </w:lvl>
    <w:lvl w:ilvl="4" w:tentative="0">
      <w:start w:val="1"/>
      <w:numFmt w:val="lowerLetter"/>
      <w:lvlText w:val="%5."/>
      <w:lvlJc w:val="left"/>
      <w:pPr>
        <w:ind w:left="4308" w:hanging="360"/>
      </w:pPr>
    </w:lvl>
    <w:lvl w:ilvl="5" w:tentative="0">
      <w:start w:val="1"/>
      <w:numFmt w:val="lowerRoman"/>
      <w:lvlText w:val="%6."/>
      <w:lvlJc w:val="right"/>
      <w:pPr>
        <w:ind w:left="5028" w:hanging="180"/>
      </w:pPr>
    </w:lvl>
    <w:lvl w:ilvl="6" w:tentative="0">
      <w:start w:val="1"/>
      <w:numFmt w:val="decimal"/>
      <w:lvlText w:val="%7."/>
      <w:lvlJc w:val="left"/>
      <w:pPr>
        <w:ind w:left="5748" w:hanging="360"/>
      </w:pPr>
    </w:lvl>
    <w:lvl w:ilvl="7" w:tentative="0">
      <w:start w:val="1"/>
      <w:numFmt w:val="lowerLetter"/>
      <w:lvlText w:val="%8."/>
      <w:lvlJc w:val="left"/>
      <w:pPr>
        <w:ind w:left="6468" w:hanging="360"/>
      </w:pPr>
    </w:lvl>
    <w:lvl w:ilvl="8" w:tentative="0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A4B1CB3"/>
    <w:rsid w:val="253D6C3D"/>
    <w:rsid w:val="287E5B6D"/>
    <w:rsid w:val="2DEE2BBA"/>
    <w:rsid w:val="383D089E"/>
    <w:rsid w:val="40BF2194"/>
    <w:rsid w:val="418433E6"/>
    <w:rsid w:val="456953AC"/>
    <w:rsid w:val="4AEB5FD6"/>
    <w:rsid w:val="5BD60666"/>
    <w:rsid w:val="5EE57A1E"/>
    <w:rsid w:val="61C9624C"/>
    <w:rsid w:val="61CD7B76"/>
    <w:rsid w:val="63BF7884"/>
    <w:rsid w:val="73F97B2A"/>
    <w:rsid w:val="77E202B2"/>
    <w:rsid w:val="7A23660F"/>
    <w:rsid w:val="7E25076B"/>
    <w:rsid w:val="7F537D1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pt-BR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widowControl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fill="auto"/>
      <w:spacing w:before="360" w:after="80" w:line="276" w:lineRule="auto"/>
      <w:ind w:left="0" w:right="0" w:firstLine="0"/>
      <w:jc w:val="left"/>
    </w:pPr>
    <w:rPr>
      <w:rFonts w:ascii="Georgia" w:hAnsi="Georgia" w:eastAsia="Georgia" w:cs="Georgia"/>
      <w:i/>
      <w:color w:val="666666"/>
      <w:sz w:val="48"/>
      <w:szCs w:val="48"/>
      <w:u w:val="none"/>
      <w:shd w:val="clear" w:fill="auto"/>
      <w:vertAlign w:val="baseline"/>
    </w:rPr>
  </w:style>
  <w:style w:type="table" w:customStyle="1" w:styleId="12">
    <w:name w:val="Table Normal"/>
    <w:qFormat/>
    <w:uiPriority w:val="0"/>
  </w:style>
  <w:style w:type="table" w:customStyle="1" w:styleId="13">
    <w:name w:val="_Style 22"/>
    <w:basedOn w:val="12"/>
    <w:qFormat/>
    <w:uiPriority w:val="0"/>
    <w:rPr>
      <w:rFonts w:ascii="Calibri" w:hAnsi="Calibri" w:eastAsia="Calibri" w:cs="Calibri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_Style 23"/>
    <w:basedOn w:val="12"/>
    <w:qFormat/>
    <w:uiPriority w:val="0"/>
    <w:rPr>
      <w:rFonts w:ascii="Calibri" w:hAnsi="Calibri" w:eastAsia="Calibri" w:cs="Calibri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lqzDmOnXlHhfm2Qa1uOox6LzHQ==">CgMxLjAyCGguZ2pkZ3hzMgloLjMwajB6bGwyDWgudXljOXZiOHpmeGsyCWguMWZvYjl0ZTgAciExRXR1ZGNEMk1HWm5Rc3g1enFyNXdvUGZnU2ZPOG5LS1Y=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1332</Words>
  <Characters>6921</Characters>
  <TotalTime>3</TotalTime>
  <ScaleCrop>false</ScaleCrop>
  <LinksUpToDate>false</LinksUpToDate>
  <CharactersWithSpaces>8221</CharactersWithSpaces>
  <Application>WPS Office_11.2.0.11191_F1E327BC-269C-435d-A152-05C5408002CA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2024-01-15T19:29:00Z</dcterms:created>
  <dc:creator>dpe</dc:creator>
  <cp:lastModifiedBy>dpe</cp:lastModifiedBy>
  <dcterms:modified xsi:type="dcterms:W3CDTF">2025-10-24T18:25:22Z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1046-11.2.0.11191</vt:lpwstr>
  </property>
  <property fmtid="{D5CDD505-2E9C-101B-9397-08002B2CF9AE}" pid="3" name="ICV">
    <vt:lpwstr>5C9C6C5F2D924F3096C36AA75A9B4B7D</vt:lpwstr>
  </property>
</Properties>
</file>