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highlight w:val="none"/>
        </w:rPr>
      </w:pPr>
      <w:r>
        <w:t>AO JUÍZO DA {{vara}} DA COMARCA DE {{comarca}}</w:t>
      </w: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pP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sz w:val="24"/>
          <w:szCs w:val="24"/>
          <w:highlight w:val="yellow"/>
        </w:rPr>
      </w:pPr>
      <w:r>
        <w:t>TRIAGEM SIGAD/SOLAR Nº {{triagemNumero}}</w:t>
      </w: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color w:val="222222"/>
          <w:sz w:val="24"/>
          <w:szCs w:val="24"/>
          <w:highlight w:val="yellow"/>
        </w:rPr>
      </w:pPr>
    </w:p>
    <w:p>
      <w:pPr>
        <w:spacing w:after="0" w:line="360" w:lineRule="auto"/>
        <w:ind w:firstLine="960"/>
        <w:jc w:val="right"/>
        <w:rPr>
          <w:rFonts w:hint="default" w:ascii="Times New Roman" w:hAnsi="Times New Roman" w:eastAsia="Times New Roman" w:cs="Times New Roman"/>
          <w:b w:val="0"/>
          <w:bCs w:val="0"/>
          <w:color w:val="222222"/>
          <w:sz w:val="24"/>
          <w:szCs w:val="24"/>
          <w:highlight w:val="yellow"/>
        </w:rPr>
      </w:pPr>
    </w:p>
    <w:p>
      <w:pPr>
        <w:spacing w:after="0" w:line="360" w:lineRule="auto"/>
        <w:ind w:firstLine="1321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[{{requerente_nome}}, incapaz, nascido(a) em {{requerente_dataNascimento}}, CPF {{requerente_cpf}}], neste ato representado(a)(s) por [{{requerente_representante}}], vem, perante esse Juízo, assistido(a) pela DEFENSORIA PÚBLICA DO ESTADO DA BAHIA, por um dos seus membros que a esta subscreve, na forma do artigo 134 da Constituição Federal, da Lei Complementar Federal nº 80/94 e da Lei Complementar Estadual nº 26/06, ajuizar a presente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AÇÃO DE FIXAÇÃO DE ALIMENTOS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COM PEDIDO DE ALIMENTOS PROVISÓRIOS</w:t>
      </w:r>
    </w:p>
    <w:p>
      <w:pPr>
        <w:spacing w:after="0" w:line="360" w:lineRule="auto"/>
        <w:ind w:left="0" w:firstLine="0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em face de [{{requerido_nome}}, CPF {{requerido_cpf}}], pelos motivos de fato e de direito a seguir expostos:</w:t>
      </w: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I. DAS PRERROGATIVAS INSTITUCIONAIS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Inicialmente, ressalta-se que por estar a parte requerente assistida pela Defensoria Pública do Estado da Bahia, é de direito a observância das prerrogativas funcionais desta instituição, tais como a contagem em dobro dos prazos processuais e a intimação pessoal dos Defensores Públicos, sob pena de nulidade dos atos praticados, em consonância com o art. 128, I, da Lei Complementar Federal nº 80 de 1994 c/c art. 148, II, da Lei Complementar Estadual nº 26 de 2006 e art. 186, 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caput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e § 1º, do Código de Processo Civil.</w:t>
      </w:r>
    </w:p>
    <w:p>
      <w:pPr>
        <w:spacing w:after="0" w:line="360" w:lineRule="auto"/>
        <w:ind w:left="0" w:firstLine="1321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II. DA GRATUIDADE DE JUSTIÇA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 parte requerente não possui recursos suficientes para pagar as custas, despesas processuais e honorários advocatícios, sem prejuízo do próprio sustento e de sua família, razão pela qual requer, em seu favor, a concessão do benefício da gratuidade da justiça, em sua integralidade, nos termos dos arts. 98 e seguintes do Código de Processo Civil.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III. DOS FATOS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u w:val="singl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  <w:lang w:val="pt-BR"/>
        </w:rPr>
        <w:t>O autor é filho do requerido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  <w:rtl w:val="0"/>
        </w:rPr>
        <w:t xml:space="preserve">, conforme é possível aduzir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shd w:val="clear" w:fill="auto"/>
          <w:rtl w:val="0"/>
        </w:rPr>
        <w:t xml:space="preserve">do seu documento de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  <w:rtl w:val="0"/>
        </w:rPr>
        <w:t>identificação em anexo. Encontra-se a parte alimentanda so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b a guarda de fato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>da genitora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, sendo livre e desimpedido o direito de convivência exercido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>pelo pai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Ocorre que, no caso em tela, os recursos financeiros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>da genitora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 vêm se mostrando insuficientes para arcar de forma satisfatória com as despesas básicas e comuns a qualquer criança ou adolescente, como alimentação, vestuário, moradia, saúde, lazer, educação, dentre outras.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Como é sabido, o dispêndio com a criação dos filhos não pode ser suportado apenas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>pela genitora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, sendo obrigação de ambos os pais conceder assistência material. Assim, certo é que a parte autora (credora), face às circunstâncias do caso concreto, não pode deixar de exercer o direito a alimentos devidos pela parte requerida (devedora).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 xml:space="preserve">Insta salientar que a genitora da parte requerente solicitou por diversas vezes o auxílio financeiro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>do requerido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, porém não obteve êxito, restando como alternativa recorrer ao Poder Judiciário com a pretensão de compelir a parte requerida a cumprir com a obrigação de prestar alimentos.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IV. DO DIREITO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Apesar de ser legalmente obrigada (arts. 227 e 229 da CRFB c/c arts. 4º e 22, do ECA, e arts. 1.566, IV, 1.568, 1.579 e 1.696, todos do CC), a parte requerida não vem contribuindo para o suste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  <w:rtl w:val="0"/>
        </w:rPr>
        <w:t>nto da sua prole, circunstância que compromete o desenvolvimento sadio e harmonioso desta em condiç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ões dignas de existência, direito assegurado pelo art. 7º do ECA.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Importante destacar que a doutrina distingue a obrigação de alimentar (decorrente do poder familiar) do dever de alimentar (decorrente do parentesco)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</w:rPr>
        <w:footnoteReference w:id="0"/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Enquanto a primeira traz consigo uma presunção de necessidade dos alimentos, o segundo exige a comprovação da necessidade de quem os pleiteia.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Consoante Cristiano Chaves de Farias e Nelson Rosenvald, considerando a obrigação alimentar uma consequência do poder familiar (da paternidade ou maternidade), “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há presunção das múltiplas necessidades do filho menor, independendo da sua condição econômica. O vínculo possui tamanha dimensão que, ainda que o infante tenha recursos financeiros, os alimentos são devidos, exceto se os pais não tiverem condições, sequer, de se manter, como na hipótese de estarem impossibilitados de exercer atividade laborativa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”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</w:rPr>
        <w:footnoteReference w:id="1"/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Em regra, a prestação de alimentos, que é recíproca entre pais e filhos (art. 1.696 do CC), deve atender à relação entre a necessidade de quem solicita e a possibilidade de quem é obrigado a prestar (art. 1.694, § 1º, do CC). Porém, “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 xml:space="preserve">Enquanto os filhos são menores, a presunção de necessidade é absoluta, ou seja,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juris et de jure</w:t>
      </w:r>
      <w:r>
        <w:rPr>
          <w:rFonts w:hint="default" w:ascii="Times New Roman" w:hAnsi="Times New Roman" w:eastAsia="Times New Roman" w:cs="Times New Roman"/>
          <w:i/>
          <w:sz w:val="24"/>
          <w:szCs w:val="24"/>
          <w:highlight w:val="none"/>
          <w:rtl w:val="0"/>
        </w:rPr>
        <w:t>. Tanto é assim que, mesmo não requeridos alimentos provisórios, deve o juiz fixá-los (art. 4º da Lei n. 5.478/68 – Lei de Alimentos)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”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vertAlign w:val="superscript"/>
        </w:rPr>
        <w:footnoteReference w:id="2"/>
      </w: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  <w:rtl w:val="0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  <w:rtl w:val="0"/>
        </w:rPr>
        <w:t>Nesse sentido, preceitua o art. 1º da Lei 5.478/68 que a ação de alimentos observará o procedimento especial, determinando em seu art. 4º a fixação de alimentos provisórios pelo juízo ao despachar o pedido realizado na inicial.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b w:val="0"/>
          <w:sz w:val="24"/>
          <w:szCs w:val="24"/>
          <w:highlight w:val="none"/>
          <w:shd w:val="clear" w:fill="auto"/>
        </w:rPr>
      </w:pPr>
    </w:p>
    <w:p>
      <w:pPr>
        <w:shd w:val="clear" w:fill="auto"/>
        <w:spacing w:after="0" w:line="360" w:lineRule="auto"/>
        <w:ind w:left="0" w:firstLine="1321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É razoável, portanto, que a parte requerida contribua para a subsistência da parte autora com ao menos {{valorPercentualSalMin}}% do salário mínimo vigente (atuais R$ 455,40), além de 50% dos gastos extraordinários com saúde, educação e vestuário, até o dia 05 de cada mês.</w:t>
      </w:r>
    </w:p>
    <w:p>
      <w:pPr>
        <w:shd w:val="clear" w:fill="auto"/>
        <w:spacing w:after="0" w:line="360" w:lineRule="auto"/>
        <w:ind w:left="0" w:firstLine="1321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both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  <w:t>V. DOS PEDIDOS</w:t>
      </w:r>
    </w:p>
    <w:p>
      <w:pPr>
        <w:tabs>
          <w:tab w:val="left" w:pos="426"/>
        </w:tabs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tabs>
          <w:tab w:val="left" w:pos="426"/>
        </w:tabs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Ante o exposto, requer:</w:t>
      </w:r>
    </w:p>
    <w:p>
      <w:pPr>
        <w:tabs>
          <w:tab w:val="left" w:pos="426"/>
        </w:tabs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o deferimento da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justiça gratuita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, bem como sejam observadas as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prerrogativas dos membros da Defensoria Pública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de intimação pessoal e prazo em dobro;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garantia de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prioridade de tramitação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do feito, recebendo os autos identificação própria;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1320" w:leftChars="0"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intimação do Ministério Público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para acompanhar todos os atos do processo;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t>liminarmente, o arbitramento de alimentos provisórios, no valor de {{valorPercentualSalMin}}% do salário mínimo vigente (atuais R$ 455,40), além de 50% dos gastos extraordinários com saúde, educação e vestuário, até o dia 05 de cada mês, a ser creditado no seguinte endereço bancário: dados bancários, conta e/ou chave PIX;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right="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o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envio de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ofíci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o ao INSS e à CEF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a fim de que estes informem sobre a existência de eventual vínculo empregatício ativo do alimentante, com fulcro no art. 529 do CPC;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red"/>
          <w:u w:val="none"/>
          <w:shd w:val="clear" w:fill="auto"/>
          <w:vertAlign w:val="baseline"/>
          <w:rtl w:val="0"/>
          <w:lang w:val="pt-BR"/>
        </w:rPr>
        <w:t>SE OUVER VINCULO EMPREGATÍCIO &gt;&gt;&gt;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o envio de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ofício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ao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ente empregador do(a) alimentante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[NOME DO ENTE, </w:t>
      </w:r>
      <w:r>
        <w:rPr>
          <w:rFonts w:hint="default" w:ascii="Times New Roman" w:hAnsi="Times New Roman" w:eastAsia="Times New Roman" w:cs="Times New Roman"/>
          <w:b w:val="0"/>
          <w:bCs/>
          <w:i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endereço profissional e eletrônico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]</w:t>
      </w:r>
      <w:r>
        <w:rPr>
          <w:rFonts w:hint="default" w:ascii="Times New Roman" w:hAnsi="Times New Roman" w:eastAsia="Times New Roman" w:cs="Times New Roman"/>
          <w:b w:val="0"/>
          <w:bCs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 xml:space="preserve">a fim de que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 xml:space="preserve">os alimentos ora arbitrados passem a ser descontados diretamente em folha de pagamento, 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</w:rPr>
        <w:t>com fulcro no art. 529 do CPC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  <w:t>;</w:t>
      </w:r>
    </w:p>
    <w:p>
      <w:pPr>
        <w:keepNext w:val="0"/>
        <w:keepLines w:val="0"/>
        <w:pageBreakBefore w:val="0"/>
        <w:widowControl/>
        <w:numPr>
          <w:ilvl w:val="0"/>
          <w:numId w:val="0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right="0" w:rightChars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yellow"/>
          <w:u w:val="none"/>
          <w:shd w:val="clear" w:fill="auto"/>
          <w:vertAlign w:val="baseline"/>
          <w:rtl w:val="0"/>
          <w:lang w:val="pt-BR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após tomadas as providências referentes à tutela provisória, que se proceda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citação da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  <w:lang w:val="pt-BR"/>
        </w:rPr>
        <w:t xml:space="preserve">parte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requerida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</w:t>
      </w:r>
      <w:r>
        <w:rPr>
          <w:rFonts w:hint="default" w:ascii="Times New Roman" w:hAnsi="Times New Roman" w:eastAsia="Times New Roman" w:cs="Times New Roman"/>
          <w:b/>
          <w:bCs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para comparecer à audiência de conciliação e mediação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nos termos do art. 319, VII, do CPC;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720" w:right="0" w:firstLine="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t>ao final, no mérito, a condenação da parte requerida para pagar alimentos definitivos à parte requerente em valor não inferior a {{valorPercentualSalMin}}% do salário mínimo vigente, além de 50% dos gastos extraordinários com saúde, educação e vestuário, quantia essa que deverá ser paga até o dia 05 de cada mês, mediante depósito a ser efetuado na conta bancária supramencionada;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  <w:tab w:val="left" w:pos="426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condenação da parte requerida nas custas processuais e nos honorários de sucumbência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, sendo que estes últimos deverão ser revertidos em favor do Fundo de Assistência Judiciária da Defensoria Pública do Estado da Bahia – FAJDPE/BA, mediante pagamento diretamente no Banco do Brasil, Agência n° 3832-6, Conta n° 992831-6, chave PIX (e-mail) central.honorarios@defensoria.ba.def.br, favorecido DPE BB ARRECAD FAJDPE BA, CNPJ 07.778.585/0001-14;</w:t>
      </w:r>
    </w:p>
    <w:p>
      <w:pPr>
        <w:keepNext w:val="0"/>
        <w:keepLines w:val="0"/>
        <w:pageBreakBefore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</w:p>
    <w:p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tabs>
          <w:tab w:val="left" w:pos="284"/>
        </w:tabs>
        <w:spacing w:before="0" w:after="0" w:line="360" w:lineRule="auto"/>
        <w:ind w:left="0" w:right="0" w:firstLine="1320"/>
        <w:jc w:val="both"/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</w:rPr>
      </w:pP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por fim, a Defensoria Pública requer, desde já, seja determinada a </w:t>
      </w:r>
      <w:r>
        <w:rPr>
          <w:rFonts w:hint="default" w:ascii="Times New Roman" w:hAnsi="Times New Roman" w:eastAsia="Times New Roman" w:cs="Times New Roman"/>
          <w:b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>intimação pessoal da parte autora</w:t>
      </w:r>
      <w:r>
        <w:rPr>
          <w:rFonts w:hint="default"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4"/>
          <w:szCs w:val="24"/>
          <w:highlight w:val="none"/>
          <w:u w:val="none"/>
          <w:shd w:val="clear" w:fill="auto"/>
          <w:vertAlign w:val="baseline"/>
          <w:rtl w:val="0"/>
        </w:rPr>
        <w:t xml:space="preserve"> sempre que qualquer ato processual depender de providência ou informação que somente por ela possa ser realizada ou prestada.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Protesta pela produção de todos os meios de prova admitidos em direito.</w:t>
      </w: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</w:rPr>
      </w:pPr>
    </w:p>
    <w:p>
      <w:pPr>
        <w:spacing w:after="0" w:line="360" w:lineRule="auto"/>
        <w:ind w:left="0" w:firstLine="1320"/>
        <w:jc w:val="both"/>
        <w:rPr>
          <w:rFonts w:hint="default" w:ascii="Times New Roman" w:hAnsi="Times New Roman" w:eastAsia="Times New Roman" w:cs="Times New Roman"/>
          <w:sz w:val="24"/>
          <w:szCs w:val="24"/>
          <w:highlight w:val="yellow"/>
          <w:shd w:val="clear" w:fill="auto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shd w:val="clear" w:fill="auto"/>
          <w:rtl w:val="0"/>
        </w:rPr>
        <w:t xml:space="preserve">Dá-se à causa o valor de </w:t>
      </w:r>
      <w:bookmarkStart w:id="1" w:name="_GoBack"/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 xml:space="preserve">R$ 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  <w:lang w:val="pt-BR"/>
        </w:rPr>
        <w:t>00,00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 xml:space="preserve"> (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  <w:lang w:val="pt-BR"/>
        </w:rPr>
        <w:t>valor por extenso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rtl w:val="0"/>
        </w:rPr>
        <w:t>)</w:t>
      </w:r>
      <w:r>
        <w:rPr>
          <w:rFonts w:hint="default" w:ascii="Times New Roman" w:hAnsi="Times New Roman" w:eastAsia="Times New Roman" w:cs="Times New Roman"/>
          <w:sz w:val="24"/>
          <w:szCs w:val="24"/>
          <w:highlight w:val="yellow"/>
          <w:shd w:val="clear" w:fill="auto"/>
          <w:rtl w:val="0"/>
        </w:rPr>
        <w:t>.</w:t>
      </w:r>
      <w:bookmarkEnd w:id="1"/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</w:pP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Nestes termos, pede deferimento.</w:t>
      </w: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t>{{cidadeDataAssinatura}}, datado e assinado eletronicamente.</w:t>
      </w: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spacing w:after="0" w:line="360" w:lineRule="auto"/>
        <w:ind w:left="0"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</w:p>
    <w:p>
      <w:pPr>
        <w:tabs>
          <w:tab w:val="left" w:pos="0"/>
          <w:tab w:val="left" w:pos="880"/>
        </w:tabs>
        <w:spacing w:after="0" w:line="360" w:lineRule="auto"/>
        <w:ind w:firstLine="19"/>
        <w:jc w:val="center"/>
        <w:rPr>
          <w:rFonts w:hint="default" w:ascii="Times New Roman" w:hAnsi="Times New Roman" w:eastAsia="Times New Roman" w:cs="Times New Roman"/>
          <w:b/>
          <w:sz w:val="24"/>
          <w:szCs w:val="24"/>
          <w:highlight w:val="none"/>
          <w:rtl w:val="0"/>
        </w:rPr>
      </w:pPr>
      <w:r>
        <w:t>{{defensoraNome}}</w:t>
      </w:r>
    </w:p>
    <w:p>
      <w:pPr>
        <w:tabs>
          <w:tab w:val="left" w:pos="0"/>
          <w:tab w:val="left" w:pos="880"/>
        </w:tabs>
        <w:spacing w:after="0" w:line="360" w:lineRule="auto"/>
        <w:ind w:firstLine="19"/>
        <w:jc w:val="center"/>
        <w:rPr>
          <w:rFonts w:hint="default"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hint="default" w:ascii="Times New Roman" w:hAnsi="Times New Roman" w:eastAsia="Times New Roman" w:cs="Times New Roman"/>
          <w:sz w:val="24"/>
          <w:szCs w:val="24"/>
          <w:highlight w:val="none"/>
          <w:rtl w:val="0"/>
        </w:rPr>
        <w:t>Defensora Pública do Estado da Bahia</w:t>
      </w:r>
    </w:p>
    <w:sectPr>
      <w:headerReference r:id="rId5" w:type="default"/>
      <w:footerReference r:id="rId6" w:type="default"/>
      <w:pgSz w:w="11906" w:h="16838"/>
      <w:pgMar w:top="1701" w:right="1134" w:bottom="1134" w:left="1701" w:header="709" w:footer="709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Lucida Sans">
    <w:altName w:val="Lucida Sans Unicod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Mangal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252"/>
        <w:tab w:val="right" w:pos="8504"/>
      </w:tabs>
      <w:spacing w:after="0" w:line="240" w:lineRule="auto"/>
      <w:jc w:val="center"/>
      <w:rPr>
        <w:rFonts w:hint="default" w:ascii="Calibri" w:hAnsi="Calibri" w:eastAsia="Arial" w:cs="Calibri"/>
        <w:color w:val="000000"/>
        <w:sz w:val="20"/>
        <w:szCs w:val="20"/>
      </w:rPr>
    </w:pPr>
  </w:p>
  <w:p>
    <w:pPr>
      <w:spacing w:after="0" w:line="240" w:lineRule="auto"/>
      <w:jc w:val="center"/>
      <w:rPr>
        <w:rFonts w:hint="default" w:ascii="Calibri" w:hAnsi="Calibri" w:eastAsia="Arial" w:cs="Calibri"/>
        <w:sz w:val="20"/>
        <w:szCs w:val="20"/>
      </w:rPr>
    </w:pPr>
    <w:r>
      <w:rPr>
        <w:rFonts w:hint="default" w:ascii="Calibri" w:hAnsi="Calibri" w:eastAsia="Arial" w:cs="Calibri"/>
        <w:sz w:val="20"/>
        <w:szCs w:val="20"/>
        <w:rtl w:val="0"/>
      </w:rPr>
      <w:t>Rua Águas Claras, 523, Bairro Bela Vista, CEP 45990-280, Teixeira de Freitas/BA</w:t>
    </w:r>
  </w:p>
  <w:p>
    <w:pPr>
      <w:spacing w:after="0" w:line="240" w:lineRule="auto"/>
      <w:jc w:val="center"/>
      <w:rPr>
        <w:rFonts w:hint="default" w:ascii="Calibri" w:hAnsi="Calibri" w:eastAsia="Arial" w:cs="Calibri"/>
        <w:sz w:val="20"/>
        <w:szCs w:val="20"/>
      </w:rPr>
    </w:pPr>
    <w:r>
      <w:rPr>
        <w:rFonts w:hint="default" w:ascii="Calibri" w:hAnsi="Calibri" w:eastAsia="Arial" w:cs="Calibri"/>
        <w:sz w:val="20"/>
        <w:szCs w:val="20"/>
        <w:rtl w:val="0"/>
      </w:rPr>
      <w:t>Tel.: (73) 32</w:t>
    </w:r>
    <w:r>
      <w:rPr>
        <w:rFonts w:hint="default" w:ascii="Calibri" w:hAnsi="Calibri" w:eastAsia="Arial" w:cs="Calibri"/>
        <w:sz w:val="20"/>
        <w:szCs w:val="20"/>
        <w:rtl w:val="0"/>
        <w:lang w:val="pt-BR"/>
      </w:rPr>
      <w:t>92-1565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6">
    <w:p>
      <w:pPr>
        <w:spacing w:before="0" w:after="0" w:line="276" w:lineRule="auto"/>
      </w:pPr>
      <w:r>
        <w:separator/>
      </w:r>
    </w:p>
  </w:footnote>
  <w:footnote w:type="continuationSeparator" w:id="7">
    <w:p>
      <w:pPr>
        <w:spacing w:before="0" w:after="0" w:line="276" w:lineRule="auto"/>
      </w:pPr>
      <w:r>
        <w:continuationSeparator/>
      </w:r>
    </w:p>
  </w:footnote>
  <w:footnote w:id="0">
    <w:p>
      <w:pPr>
        <w:keepNext w:val="0"/>
        <w:keepLines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vertAlign w:val="superscript"/>
        </w:rPr>
        <w:footnoteRef/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FARIAS, Cristiano Chaves de; ROSENVALD, Nelson. Curso de Direito Civil: Famílias. V. 6. 4ª Edição. Salvador: JusPodivm, 2016, p. 724.</w:t>
      </w:r>
    </w:p>
  </w:footnote>
  <w:footnote w:id="1">
    <w:p>
      <w:pPr>
        <w:keepNext w:val="0"/>
        <w:keepLines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spacing w:before="6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vertAlign w:val="superscript"/>
        </w:rPr>
        <w:footnoteRef/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FARIAS, Cristiano Chaves de; ROSENVALD, Nelson. </w:t>
      </w:r>
      <w:r>
        <w:rPr>
          <w:rFonts w:ascii="Times New Roman" w:hAnsi="Times New Roman" w:eastAsia="Times New Roman" w:cs="Times New Roman"/>
          <w:b w:val="0"/>
          <w:i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Ibid.</w:t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, p. 724.</w:t>
      </w:r>
    </w:p>
  </w:footnote>
  <w:footnote w:id="2">
    <w:p>
      <w:pPr>
        <w:keepNext w:val="0"/>
        <w:keepLines w:val="0"/>
        <w:widowControl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fill="auto"/>
        <w:spacing w:before="6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vertAlign w:val="superscript"/>
        </w:rPr>
        <w:footnoteRef/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 DIAS, Maria Berenice. Manual de Direito das Famílias. 14. ed. rev. ampl. e atual. – Salvador: Editora JusPodivm, 2021, p. 810.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keepNext w:val="0"/>
      <w:keepLines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center"/>
      <w:rPr>
        <w:rFonts w:hint="default" w:ascii="Calibri" w:hAnsi="Calibri" w:eastAsia="Arial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Fonts w:hint="default" w:ascii="Calibri" w:hAnsi="Calibri" w:eastAsia="Arial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  <w:drawing>
        <wp:inline distT="0" distB="0" distL="0" distR="0">
          <wp:extent cx="1501140" cy="933450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png"/>
                  <pic:cNvPicPr preferRelativeResize="0"/>
                </pic:nvPicPr>
                <pic:blipFill>
                  <a:blip r:embed="rId1"/>
                  <a:srcRect b="19008"/>
                  <a:stretch>
                    <a:fillRect/>
                  </a:stretch>
                </pic:blipFill>
                <pic:spPr>
                  <a:xfrm>
                    <a:off x="0" y="0"/>
                    <a:ext cx="150114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keepNext w:val="0"/>
      <w:keepLines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tabs>
        <w:tab w:val="center" w:pos="4252"/>
        <w:tab w:val="right" w:pos="8504"/>
      </w:tabs>
      <w:spacing w:before="0" w:after="0" w:line="240" w:lineRule="auto"/>
      <w:ind w:left="0" w:right="0" w:firstLine="0"/>
      <w:jc w:val="center"/>
      <w:rPr>
        <w:rFonts w:hint="default" w:ascii="Calibri" w:hAnsi="Calibri" w:eastAsia="Arial" w:cs="Calibri"/>
        <w:b w:val="0"/>
        <w:i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lowerLetter"/>
      <w:pStyle w:val="2"/>
      <w:lvlText w:val="%1)"/>
      <w:lvlJc w:val="left"/>
      <w:pPr>
        <w:ind w:left="360" w:hanging="360"/>
      </w:pPr>
      <w:rPr>
        <w:b/>
      </w:rPr>
    </w:lvl>
    <w:lvl w:ilvl="1" w:tentative="0">
      <w:start w:val="1"/>
      <w:numFmt w:val="lowerLetter"/>
      <w:lvlText w:val="%2."/>
      <w:lvlJc w:val="left"/>
      <w:pPr>
        <w:ind w:left="2148" w:hanging="360"/>
      </w:pPr>
    </w:lvl>
    <w:lvl w:ilvl="2" w:tentative="0">
      <w:start w:val="1"/>
      <w:numFmt w:val="lowerRoman"/>
      <w:lvlText w:val="%3."/>
      <w:lvlJc w:val="right"/>
      <w:pPr>
        <w:ind w:left="2868" w:hanging="180"/>
      </w:pPr>
    </w:lvl>
    <w:lvl w:ilvl="3" w:tentative="0">
      <w:start w:val="1"/>
      <w:numFmt w:val="decimal"/>
      <w:lvlText w:val="%4."/>
      <w:lvlJc w:val="left"/>
      <w:pPr>
        <w:ind w:left="3588" w:hanging="360"/>
      </w:pPr>
    </w:lvl>
    <w:lvl w:ilvl="4" w:tentative="0">
      <w:start w:val="1"/>
      <w:numFmt w:val="lowerLetter"/>
      <w:lvlText w:val="%5."/>
      <w:lvlJc w:val="left"/>
      <w:pPr>
        <w:ind w:left="4308" w:hanging="360"/>
      </w:pPr>
    </w:lvl>
    <w:lvl w:ilvl="5" w:tentative="0">
      <w:start w:val="1"/>
      <w:numFmt w:val="lowerRoman"/>
      <w:lvlText w:val="%6."/>
      <w:lvlJc w:val="right"/>
      <w:pPr>
        <w:ind w:left="5028" w:hanging="180"/>
      </w:pPr>
    </w:lvl>
    <w:lvl w:ilvl="6" w:tentative="0">
      <w:start w:val="1"/>
      <w:numFmt w:val="decimal"/>
      <w:lvlText w:val="%7."/>
      <w:lvlJc w:val="left"/>
      <w:pPr>
        <w:ind w:left="5748" w:hanging="360"/>
      </w:pPr>
    </w:lvl>
    <w:lvl w:ilvl="7" w:tentative="0">
      <w:start w:val="1"/>
      <w:numFmt w:val="lowerLetter"/>
      <w:lvlText w:val="%8."/>
      <w:lvlJc w:val="left"/>
      <w:pPr>
        <w:ind w:left="6468" w:hanging="360"/>
      </w:pPr>
    </w:lvl>
    <w:lvl w:ilvl="8" w:tentative="0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6"/>
    <w:footnote w:id="7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</w:compat>
  <w:rsids>
    <w:rsidRoot w:val="00000000"/>
    <w:rsid w:val="11495807"/>
    <w:rsid w:val="127667EF"/>
    <w:rsid w:val="176A427A"/>
    <w:rsid w:val="1AEA4BE9"/>
    <w:rsid w:val="1C8B77F5"/>
    <w:rsid w:val="1FF7333D"/>
    <w:rsid w:val="25835278"/>
    <w:rsid w:val="27646502"/>
    <w:rsid w:val="344F1ED9"/>
    <w:rsid w:val="359D05B6"/>
    <w:rsid w:val="374C4C14"/>
    <w:rsid w:val="43D621B4"/>
    <w:rsid w:val="446E6C24"/>
    <w:rsid w:val="475A64D6"/>
    <w:rsid w:val="4A9F5149"/>
    <w:rsid w:val="60B60A66"/>
    <w:rsid w:val="61AF10AD"/>
    <w:rsid w:val="66C94102"/>
    <w:rsid w:val="67C02619"/>
    <w:rsid w:val="6DA60772"/>
    <w:rsid w:val="70C67F53"/>
    <w:rsid w:val="74EB73A4"/>
    <w:rsid w:val="7BA344AB"/>
    <w:rsid w:val="7D9B1AC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name="heading 3"/>
    <w:lsdException w:qFormat="1" w:unhideWhenUsed="0" w:uiPriority="0" w:semiHidden="0" w:name="heading 4"/>
    <w:lsdException w:qFormat="1" w:uiPriority="9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iPriority="99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iPriority="99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iPriority="99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34" w:semiHidden="0" w:name="List Paragraph"/>
    <w:lsdException w:qFormat="1" w:unhideWhenUsed="0" w:uiPriority="0" w:semiHidden="0" w:name="Quot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pt-BR" w:eastAsia="en-US" w:bidi="ar-SA"/>
    </w:rPr>
  </w:style>
  <w:style w:type="paragraph" w:styleId="2">
    <w:name w:val="heading 1"/>
    <w:basedOn w:val="1"/>
    <w:next w:val="1"/>
    <w:link w:val="33"/>
    <w:qFormat/>
    <w:uiPriority w:val="0"/>
    <w:pPr>
      <w:keepNext/>
      <w:numPr>
        <w:ilvl w:val="0"/>
        <w:numId w:val="1"/>
      </w:numPr>
      <w:suppressAutoHyphens/>
      <w:spacing w:after="0" w:line="240" w:lineRule="auto"/>
      <w:outlineLvl w:val="0"/>
    </w:pPr>
    <w:rPr>
      <w:rFonts w:ascii="Arial" w:hAnsi="Arial" w:eastAsia="Times New Roman" w:cs="Times New Roman"/>
      <w:sz w:val="28"/>
      <w:szCs w:val="20"/>
      <w:lang w:eastAsia="pt-BR"/>
    </w:rPr>
  </w:style>
  <w:style w:type="paragraph" w:styleId="3">
    <w:name w:val="heading 2"/>
    <w:basedOn w:val="1"/>
    <w:next w:val="1"/>
    <w:link w:val="60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40" w:after="40"/>
    </w:pPr>
    <w:rPr>
      <w:b/>
      <w:sz w:val="24"/>
      <w:szCs w:val="24"/>
    </w:rPr>
  </w:style>
  <w:style w:type="paragraph" w:styleId="6">
    <w:name w:val="heading 5"/>
    <w:basedOn w:val="1"/>
    <w:next w:val="1"/>
    <w:link w:val="57"/>
    <w:semiHidden/>
    <w:unhideWhenUsed/>
    <w:qFormat/>
    <w:uiPriority w:val="9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376092" w:themeColor="accent1" w:themeShade="BF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00" w:after="40"/>
    </w:pPr>
    <w:rPr>
      <w:b/>
      <w:sz w:val="20"/>
      <w:szCs w:val="20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Strong"/>
    <w:basedOn w:val="8"/>
    <w:qFormat/>
    <w:uiPriority w:val="22"/>
    <w:rPr>
      <w:b/>
      <w:bCs/>
    </w:rPr>
  </w:style>
  <w:style w:type="character" w:styleId="11">
    <w:name w:val="Emphasis"/>
    <w:basedOn w:val="8"/>
    <w:qFormat/>
    <w:uiPriority w:val="20"/>
    <w:rPr>
      <w:i/>
      <w:iCs/>
    </w:rPr>
  </w:style>
  <w:style w:type="character" w:styleId="12">
    <w:name w:val="footnote reference"/>
    <w:qFormat/>
    <w:uiPriority w:val="0"/>
    <w:rPr>
      <w:vertAlign w:val="superscript"/>
    </w:rPr>
  </w:style>
  <w:style w:type="character" w:styleId="13">
    <w:name w:val="Hyperlink"/>
    <w:qFormat/>
    <w:uiPriority w:val="99"/>
    <w:rPr>
      <w:color w:val="0000FF"/>
      <w:u w:val="single"/>
    </w:rPr>
  </w:style>
  <w:style w:type="paragraph" w:styleId="14">
    <w:name w:val="Body Text"/>
    <w:basedOn w:val="1"/>
    <w:link w:val="39"/>
    <w:qFormat/>
    <w:uiPriority w:val="0"/>
    <w:pPr>
      <w:suppressAutoHyphens/>
      <w:spacing w:after="12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5">
    <w:name w:val="Block Text"/>
    <w:basedOn w:val="1"/>
    <w:qFormat/>
    <w:uiPriority w:val="0"/>
    <w:pPr>
      <w:suppressAutoHyphens/>
      <w:spacing w:after="0" w:line="240" w:lineRule="auto"/>
      <w:ind w:left="2835" w:right="18"/>
      <w:jc w:val="both"/>
    </w:pPr>
    <w:rPr>
      <w:rFonts w:ascii="Lucida Sans" w:hAnsi="Lucida Sans" w:eastAsia="Times New Roman" w:cs="Times New Roman"/>
      <w:b/>
      <w:sz w:val="20"/>
      <w:szCs w:val="20"/>
    </w:rPr>
  </w:style>
  <w:style w:type="paragraph" w:styleId="16">
    <w:name w:val="Title"/>
    <w:basedOn w:val="1"/>
    <w:next w:val="1"/>
    <w:link w:val="54"/>
    <w:qFormat/>
    <w:uiPriority w:val="0"/>
    <w:pPr>
      <w:spacing w:after="0" w:line="240" w:lineRule="auto"/>
      <w:jc w:val="center"/>
    </w:pPr>
    <w:rPr>
      <w:rFonts w:ascii="Arial" w:hAnsi="Arial" w:eastAsia="Times New Roman" w:cs="Times New Roman"/>
      <w:b/>
      <w:bCs/>
      <w:sz w:val="28"/>
      <w:szCs w:val="24"/>
      <w:lang w:eastAsia="ar-SA"/>
    </w:rPr>
  </w:style>
  <w:style w:type="paragraph" w:styleId="17">
    <w:name w:val="Normal (Web)"/>
    <w:basedOn w:val="1"/>
    <w:qFormat/>
    <w:uiPriority w:val="99"/>
    <w:pPr>
      <w:spacing w:before="100" w:beforeAutospacing="1" w:after="100" w:afterAutospacing="1" w:line="240" w:lineRule="auto"/>
    </w:pPr>
    <w:rPr>
      <w:rFonts w:ascii="Arial Unicode MS" w:hAnsi="Arial Unicode MS" w:eastAsia="Arial Unicode MS" w:cs="Arial Unicode MS"/>
      <w:sz w:val="24"/>
      <w:szCs w:val="24"/>
      <w:lang w:eastAsia="pt-BR"/>
    </w:rPr>
  </w:style>
  <w:style w:type="paragraph" w:styleId="18">
    <w:name w:val="Body Text 3"/>
    <w:basedOn w:val="1"/>
    <w:link w:val="41"/>
    <w:qFormat/>
    <w:uiPriority w:val="0"/>
    <w:pPr>
      <w:suppressAutoHyphens/>
      <w:spacing w:after="120" w:line="240" w:lineRule="auto"/>
    </w:pPr>
    <w:rPr>
      <w:rFonts w:ascii="Times New Roman" w:hAnsi="Times New Roman" w:eastAsia="Times New Roman" w:cs="Times New Roman"/>
      <w:sz w:val="16"/>
      <w:szCs w:val="16"/>
    </w:rPr>
  </w:style>
  <w:style w:type="paragraph" w:styleId="19">
    <w:name w:val="HTML Preformatted"/>
    <w:basedOn w:val="1"/>
    <w:link w:val="42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Verdana" w:hAnsi="Verdana" w:eastAsia="Arial Unicode MS" w:cs="Arial Unicode MS"/>
      <w:sz w:val="20"/>
      <w:szCs w:val="20"/>
      <w:lang w:eastAsia="pt-BR"/>
    </w:rPr>
  </w:style>
  <w:style w:type="paragraph" w:styleId="20">
    <w:name w:val="Body Text 2"/>
    <w:basedOn w:val="1"/>
    <w:link w:val="38"/>
    <w:qFormat/>
    <w:uiPriority w:val="0"/>
    <w:pPr>
      <w:suppressAutoHyphens/>
      <w:spacing w:after="0" w:line="240" w:lineRule="auto"/>
    </w:pPr>
    <w:rPr>
      <w:rFonts w:ascii="Times New Roman" w:hAnsi="Times New Roman" w:eastAsia="Times New Roman" w:cs="Times New Roman"/>
      <w:b/>
      <w:sz w:val="28"/>
      <w:szCs w:val="20"/>
    </w:rPr>
  </w:style>
  <w:style w:type="paragraph" w:styleId="21">
    <w:name w:val="header"/>
    <w:basedOn w:val="1"/>
    <w:link w:val="30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22">
    <w:name w:val="footer"/>
    <w:basedOn w:val="1"/>
    <w:link w:val="31"/>
    <w:unhideWhenUsed/>
    <w:qFormat/>
    <w:uiPriority w:val="0"/>
    <w:pPr>
      <w:tabs>
        <w:tab w:val="center" w:pos="4252"/>
        <w:tab w:val="right" w:pos="8504"/>
      </w:tabs>
      <w:spacing w:after="0" w:line="240" w:lineRule="auto"/>
    </w:pPr>
  </w:style>
  <w:style w:type="paragraph" w:styleId="23">
    <w:name w:val="Body Text Indent 3"/>
    <w:basedOn w:val="1"/>
    <w:link w:val="37"/>
    <w:qFormat/>
    <w:uiPriority w:val="0"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</w:rPr>
  </w:style>
  <w:style w:type="paragraph" w:styleId="24">
    <w:name w:val="Balloon Text"/>
    <w:basedOn w:val="1"/>
    <w:link w:val="32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25">
    <w:name w:val="Subtitle"/>
    <w:basedOn w:val="1"/>
    <w:next w:val="1"/>
    <w:qFormat/>
    <w:uiPriority w:val="0"/>
    <w:pPr>
      <w:keepNext/>
      <w:keepLines/>
      <w:pageBreakBefore w:val="0"/>
      <w:widowControl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fill="auto"/>
      <w:spacing w:before="360" w:after="80" w:line="276" w:lineRule="auto"/>
      <w:ind w:left="0" w:right="0" w:firstLine="0"/>
      <w:jc w:val="left"/>
    </w:pPr>
    <w:rPr>
      <w:rFonts w:ascii="Georgia" w:hAnsi="Georgia" w:eastAsia="Georgia" w:cs="Georgia"/>
      <w:i/>
      <w:color w:val="666666"/>
      <w:sz w:val="48"/>
      <w:szCs w:val="48"/>
      <w:u w:val="none"/>
      <w:shd w:val="clear" w:fill="auto"/>
      <w:vertAlign w:val="baseline"/>
    </w:rPr>
  </w:style>
  <w:style w:type="paragraph" w:styleId="26">
    <w:name w:val="footnote text"/>
    <w:basedOn w:val="1"/>
    <w:link w:val="40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paragraph" w:styleId="27">
    <w:name w:val="List Bullet"/>
    <w:basedOn w:val="1"/>
    <w:unhideWhenUsed/>
    <w:qFormat/>
    <w:uiPriority w:val="99"/>
    <w:pPr>
      <w:suppressAutoHyphens/>
      <w:spacing w:after="120" w:line="240" w:lineRule="auto"/>
      <w:contextualSpacing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styleId="28">
    <w:name w:val="Body Text Indent"/>
    <w:basedOn w:val="1"/>
    <w:link w:val="36"/>
    <w:qFormat/>
    <w:uiPriority w:val="0"/>
    <w:pPr>
      <w:suppressAutoHyphens/>
      <w:spacing w:after="0" w:line="240" w:lineRule="auto"/>
    </w:pPr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table" w:customStyle="1" w:styleId="29">
    <w:name w:val="Table Normal"/>
    <w:qFormat/>
    <w:uiPriority w:val="0"/>
  </w:style>
  <w:style w:type="character" w:customStyle="1" w:styleId="30">
    <w:name w:val="Cabeçalho Char"/>
    <w:basedOn w:val="8"/>
    <w:link w:val="21"/>
    <w:qFormat/>
    <w:uiPriority w:val="99"/>
  </w:style>
  <w:style w:type="character" w:customStyle="1" w:styleId="31">
    <w:name w:val="Rodapé Char"/>
    <w:basedOn w:val="8"/>
    <w:link w:val="22"/>
    <w:qFormat/>
    <w:uiPriority w:val="0"/>
  </w:style>
  <w:style w:type="character" w:customStyle="1" w:styleId="32">
    <w:name w:val="Texto de balão Char"/>
    <w:basedOn w:val="8"/>
    <w:link w:val="24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33">
    <w:name w:val="Título 1 Char"/>
    <w:basedOn w:val="8"/>
    <w:link w:val="2"/>
    <w:qFormat/>
    <w:uiPriority w:val="0"/>
    <w:rPr>
      <w:rFonts w:ascii="Arial" w:hAnsi="Arial" w:eastAsia="Times New Roman" w:cs="Times New Roman"/>
      <w:sz w:val="28"/>
      <w:szCs w:val="20"/>
      <w:lang w:eastAsia="pt-BR"/>
    </w:rPr>
  </w:style>
  <w:style w:type="paragraph" w:customStyle="1" w:styleId="34">
    <w:name w:val="WW-Normal (Web)"/>
    <w:basedOn w:val="1"/>
    <w:qFormat/>
    <w:uiPriority w:val="0"/>
    <w:pPr>
      <w:suppressAutoHyphens/>
      <w:spacing w:before="100" w:after="100" w:line="240" w:lineRule="auto"/>
    </w:pPr>
    <w:rPr>
      <w:rFonts w:ascii="Times New Roman" w:hAnsi="Times New Roman" w:eastAsia="Times New Roman" w:cs="Times New Roman"/>
      <w:sz w:val="24"/>
      <w:szCs w:val="20"/>
      <w:lang w:eastAsia="pt-BR"/>
    </w:rPr>
  </w:style>
  <w:style w:type="paragraph" w:customStyle="1" w:styleId="35">
    <w:name w:val="WW-Recuo de corpo de texto 3"/>
    <w:basedOn w:val="1"/>
    <w:qFormat/>
    <w:uiPriority w:val="0"/>
    <w:pPr>
      <w:suppressAutoHyphens/>
      <w:spacing w:after="0" w:line="240" w:lineRule="auto"/>
      <w:ind w:firstLine="2835"/>
      <w:jc w:val="both"/>
    </w:pPr>
    <w:rPr>
      <w:rFonts w:ascii="Arial" w:hAnsi="Arial" w:eastAsia="Times New Roman" w:cs="Times New Roman"/>
      <w:color w:val="000000"/>
      <w:sz w:val="28"/>
      <w:szCs w:val="20"/>
      <w:lang w:eastAsia="pt-BR"/>
    </w:rPr>
  </w:style>
  <w:style w:type="character" w:customStyle="1" w:styleId="36">
    <w:name w:val="Recuo de corpo de texto Char"/>
    <w:basedOn w:val="8"/>
    <w:link w:val="28"/>
    <w:qFormat/>
    <w:uiPriority w:val="0"/>
    <w:rPr>
      <w:rFonts w:ascii="Times New Roman" w:hAnsi="Times New Roman" w:eastAsia="Times New Roman" w:cs="Times New Roman"/>
      <w:b/>
      <w:color w:val="800000"/>
      <w:sz w:val="32"/>
      <w:szCs w:val="20"/>
      <w:lang w:eastAsia="pt-BR"/>
    </w:rPr>
  </w:style>
  <w:style w:type="character" w:customStyle="1" w:styleId="37">
    <w:name w:val="Recuo de corpo de texto 3 Char"/>
    <w:basedOn w:val="8"/>
    <w:link w:val="23"/>
    <w:qFormat/>
    <w:uiPriority w:val="0"/>
    <w:rPr>
      <w:rFonts w:ascii="Arial" w:hAnsi="Arial" w:eastAsia="Times New Roman" w:cs="Times New Roman"/>
      <w:color w:val="000000"/>
      <w:sz w:val="28"/>
      <w:szCs w:val="20"/>
    </w:rPr>
  </w:style>
  <w:style w:type="character" w:customStyle="1" w:styleId="38">
    <w:name w:val="Corpo de texto 2 Char"/>
    <w:basedOn w:val="8"/>
    <w:link w:val="20"/>
    <w:qFormat/>
    <w:uiPriority w:val="0"/>
    <w:rPr>
      <w:rFonts w:ascii="Times New Roman" w:hAnsi="Times New Roman" w:eastAsia="Times New Roman" w:cs="Times New Roman"/>
      <w:b/>
      <w:sz w:val="28"/>
      <w:szCs w:val="20"/>
    </w:rPr>
  </w:style>
  <w:style w:type="character" w:customStyle="1" w:styleId="39">
    <w:name w:val="Corpo de texto Char"/>
    <w:basedOn w:val="8"/>
    <w:link w:val="14"/>
    <w:qFormat/>
    <w:uiPriority w:val="0"/>
    <w:rPr>
      <w:rFonts w:ascii="Times New Roman" w:hAnsi="Times New Roman" w:eastAsia="Times New Roman" w:cs="Times New Roman"/>
      <w:sz w:val="20"/>
      <w:szCs w:val="20"/>
    </w:rPr>
  </w:style>
  <w:style w:type="character" w:customStyle="1" w:styleId="40">
    <w:name w:val="Texto de nota de rodapé Char"/>
    <w:basedOn w:val="8"/>
    <w:link w:val="26"/>
    <w:qFormat/>
    <w:uiPriority w:val="0"/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customStyle="1" w:styleId="41">
    <w:name w:val="Corpo de texto 3 Char"/>
    <w:basedOn w:val="8"/>
    <w:link w:val="18"/>
    <w:qFormat/>
    <w:uiPriority w:val="0"/>
    <w:rPr>
      <w:rFonts w:ascii="Times New Roman" w:hAnsi="Times New Roman" w:eastAsia="Times New Roman" w:cs="Times New Roman"/>
      <w:sz w:val="16"/>
      <w:szCs w:val="16"/>
    </w:rPr>
  </w:style>
  <w:style w:type="character" w:customStyle="1" w:styleId="42">
    <w:name w:val="Pré-formatação HTML Char"/>
    <w:basedOn w:val="8"/>
    <w:link w:val="19"/>
    <w:qFormat/>
    <w:uiPriority w:val="0"/>
    <w:rPr>
      <w:rFonts w:ascii="Verdana" w:hAnsi="Verdana" w:eastAsia="Arial Unicode MS" w:cs="Arial Unicode MS"/>
      <w:sz w:val="20"/>
      <w:szCs w:val="20"/>
      <w:lang w:eastAsia="pt-BR"/>
    </w:rPr>
  </w:style>
  <w:style w:type="character" w:customStyle="1" w:styleId="43">
    <w:name w:val="highlightbrs1"/>
    <w:qFormat/>
    <w:uiPriority w:val="0"/>
    <w:rPr>
      <w:b/>
      <w:bCs/>
      <w:color w:val="FF0000"/>
    </w:rPr>
  </w:style>
  <w:style w:type="character" w:customStyle="1" w:styleId="44">
    <w:name w:val="Caracteres de Nota de Rodapé"/>
    <w:qFormat/>
    <w:uiPriority w:val="0"/>
    <w:rPr>
      <w:vertAlign w:val="superscript"/>
    </w:rPr>
  </w:style>
  <w:style w:type="character" w:customStyle="1" w:styleId="45">
    <w:name w:val="Caracteres de nota de rodapé"/>
    <w:qFormat/>
    <w:uiPriority w:val="0"/>
    <w:rPr>
      <w:vertAlign w:val="superscript"/>
    </w:rPr>
  </w:style>
  <w:style w:type="paragraph" w:styleId="46">
    <w:name w:val="List Paragraph"/>
    <w:basedOn w:val="1"/>
    <w:qFormat/>
    <w:uiPriority w:val="34"/>
    <w:pPr>
      <w:suppressAutoHyphens/>
      <w:spacing w:after="120" w:line="240" w:lineRule="auto"/>
      <w:ind w:left="720"/>
      <w:jc w:val="both"/>
    </w:pPr>
    <w:rPr>
      <w:rFonts w:ascii="Times New Roman" w:hAnsi="Times New Roman" w:eastAsia="Times New Roman" w:cs="Calibri"/>
      <w:sz w:val="24"/>
      <w:szCs w:val="24"/>
      <w:lang w:eastAsia="ar-SA"/>
    </w:rPr>
  </w:style>
  <w:style w:type="paragraph" w:customStyle="1" w:styleId="47">
    <w:name w:val="Parágrafo Normal"/>
    <w:basedOn w:val="1"/>
    <w:link w:val="48"/>
    <w:qFormat/>
    <w:uiPriority w:val="0"/>
    <w:pPr>
      <w:spacing w:after="60" w:line="360" w:lineRule="auto"/>
      <w:ind w:firstLine="1418"/>
      <w:jc w:val="both"/>
    </w:pPr>
    <w:rPr>
      <w:rFonts w:ascii="Arial" w:hAnsi="Arial" w:eastAsia="Times New Roman" w:cs="Times New Roman"/>
      <w:sz w:val="24"/>
      <w:szCs w:val="24"/>
      <w:lang w:val="zh-CN" w:eastAsia="zh-CN"/>
    </w:rPr>
  </w:style>
  <w:style w:type="character" w:customStyle="1" w:styleId="48">
    <w:name w:val="Parágrafo Normal Char"/>
    <w:link w:val="47"/>
    <w:qFormat/>
    <w:uiPriority w:val="0"/>
    <w:rPr>
      <w:rFonts w:ascii="Arial" w:hAnsi="Arial" w:eastAsia="Times New Roman" w:cs="Times New Roman"/>
      <w:sz w:val="24"/>
      <w:szCs w:val="24"/>
      <w:lang w:val="zh-CN" w:eastAsia="zh-CN"/>
    </w:rPr>
  </w:style>
  <w:style w:type="paragraph" w:styleId="49">
    <w:name w:val="Quote"/>
    <w:basedOn w:val="1"/>
    <w:link w:val="50"/>
    <w:qFormat/>
    <w:uiPriority w:val="0"/>
    <w:pPr>
      <w:spacing w:after="60" w:line="240" w:lineRule="auto"/>
      <w:ind w:left="2835"/>
      <w:jc w:val="both"/>
    </w:pPr>
    <w:rPr>
      <w:rFonts w:ascii="Arial" w:hAnsi="Arial" w:eastAsia="Times New Roman" w:cs="Times New Roman"/>
      <w:i/>
      <w:iCs/>
      <w:lang w:val="zh-CN" w:eastAsia="zh-CN"/>
    </w:rPr>
  </w:style>
  <w:style w:type="character" w:customStyle="1" w:styleId="50">
    <w:name w:val="Citação Char"/>
    <w:basedOn w:val="8"/>
    <w:link w:val="49"/>
    <w:qFormat/>
    <w:uiPriority w:val="0"/>
    <w:rPr>
      <w:rFonts w:ascii="Arial" w:hAnsi="Arial" w:eastAsia="Times New Roman" w:cs="Times New Roman"/>
      <w:i/>
      <w:iCs/>
      <w:lang w:val="zh-CN" w:eastAsia="zh-CN"/>
    </w:rPr>
  </w:style>
  <w:style w:type="paragraph" w:customStyle="1" w:styleId="51">
    <w:name w:val="text1"/>
    <w:basedOn w:val="1"/>
    <w:qFormat/>
    <w:uiPriority w:val="0"/>
    <w:pPr>
      <w:spacing w:before="225" w:after="225" w:line="240" w:lineRule="auto"/>
      <w:ind w:left="75" w:right="75"/>
    </w:pPr>
    <w:rPr>
      <w:rFonts w:ascii="Times New Roman" w:hAnsi="Times New Roman" w:eastAsia="Times New Roman" w:cs="Times New Roman"/>
      <w:sz w:val="20"/>
      <w:szCs w:val="20"/>
      <w:lang w:eastAsia="pt-BR"/>
    </w:rPr>
  </w:style>
  <w:style w:type="character" w:customStyle="1" w:styleId="52">
    <w:name w:val="label"/>
    <w:basedOn w:val="8"/>
    <w:qFormat/>
    <w:uiPriority w:val="0"/>
  </w:style>
  <w:style w:type="paragraph" w:customStyle="1" w:styleId="53">
    <w:name w:val="Recuo de corpo de texto 31"/>
    <w:basedOn w:val="1"/>
    <w:qFormat/>
    <w:uiPriority w:val="0"/>
    <w:pPr>
      <w:suppressAutoHyphens/>
      <w:spacing w:after="120" w:line="240" w:lineRule="auto"/>
      <w:ind w:left="283"/>
      <w:jc w:val="both"/>
    </w:pPr>
    <w:rPr>
      <w:rFonts w:ascii="Times New Roman" w:hAnsi="Times New Roman" w:eastAsia="Times New Roman" w:cs="Calibri"/>
      <w:sz w:val="16"/>
      <w:szCs w:val="16"/>
      <w:lang w:eastAsia="ar-SA"/>
    </w:rPr>
  </w:style>
  <w:style w:type="character" w:customStyle="1" w:styleId="54">
    <w:name w:val="Título Char"/>
    <w:basedOn w:val="8"/>
    <w:link w:val="16"/>
    <w:qFormat/>
    <w:uiPriority w:val="0"/>
    <w:rPr>
      <w:rFonts w:ascii="Arial" w:hAnsi="Arial" w:eastAsia="Times New Roman" w:cs="Times New Roman"/>
      <w:b/>
      <w:bCs/>
      <w:sz w:val="28"/>
      <w:szCs w:val="24"/>
      <w:lang w:eastAsia="ar-SA"/>
    </w:rPr>
  </w:style>
  <w:style w:type="character" w:customStyle="1" w:styleId="55">
    <w:name w:val="Ref. de nota de rodapé2"/>
    <w:qFormat/>
    <w:uiPriority w:val="0"/>
    <w:rPr>
      <w:vertAlign w:val="superscript"/>
    </w:rPr>
  </w:style>
  <w:style w:type="character" w:customStyle="1" w:styleId="56">
    <w:name w:val="apple-converted-space"/>
    <w:basedOn w:val="8"/>
    <w:qFormat/>
    <w:uiPriority w:val="0"/>
  </w:style>
  <w:style w:type="character" w:customStyle="1" w:styleId="57">
    <w:name w:val="Título 5 Char"/>
    <w:basedOn w:val="8"/>
    <w:link w:val="6"/>
    <w:semiHidden/>
    <w:qFormat/>
    <w:uiPriority w:val="9"/>
    <w:rPr>
      <w:rFonts w:asciiTheme="majorHAnsi" w:hAnsiTheme="majorHAnsi" w:eastAsiaTheme="majorEastAsia" w:cstheme="majorBidi"/>
      <w:color w:val="376092" w:themeColor="accent1" w:themeShade="BF"/>
    </w:rPr>
  </w:style>
  <w:style w:type="paragraph" w:customStyle="1" w:styleId="58">
    <w:name w:val="Corpo de texto 21"/>
    <w:basedOn w:val="1"/>
    <w:qFormat/>
    <w:uiPriority w:val="0"/>
    <w:pPr>
      <w:tabs>
        <w:tab w:val="left" w:pos="1134"/>
      </w:tabs>
      <w:suppressAutoHyphens/>
      <w:spacing w:after="0" w:line="240" w:lineRule="auto"/>
      <w:jc w:val="both"/>
    </w:pPr>
    <w:rPr>
      <w:rFonts w:ascii="Times New Roman" w:hAnsi="Times New Roman" w:eastAsia="Times New Roman" w:cs="Times New Roman"/>
      <w:sz w:val="26"/>
      <w:szCs w:val="20"/>
      <w:lang w:eastAsia="ar-SA"/>
    </w:rPr>
  </w:style>
  <w:style w:type="paragraph" w:customStyle="1" w:styleId="59">
    <w:name w:val="_Style Cuzão"/>
    <w:basedOn w:val="28"/>
    <w:qFormat/>
    <w:uiPriority w:val="0"/>
    <w:pPr>
      <w:autoSpaceDE w:val="0"/>
      <w:ind w:firstLine="1134"/>
      <w:jc w:val="both"/>
    </w:pPr>
    <w:rPr>
      <w:rFonts w:ascii="Verdana" w:hAnsi="Verdana" w:cs="Verdana"/>
      <w:b w:val="0"/>
      <w:color w:val="auto"/>
      <w:sz w:val="24"/>
      <w:szCs w:val="24"/>
      <w:lang w:eastAsia="ar-SA"/>
    </w:rPr>
  </w:style>
  <w:style w:type="character" w:customStyle="1" w:styleId="60">
    <w:name w:val="Título 2 Char"/>
    <w:basedOn w:val="8"/>
    <w:link w:val="3"/>
    <w:qFormat/>
    <w:uiPriority w:val="9"/>
    <w:rPr>
      <w:rFonts w:asciiTheme="majorHAnsi" w:hAnsiTheme="majorHAnsi" w:eastAsiaTheme="majorEastAsia" w:cstheme="majorBidi"/>
      <w:color w:val="376092" w:themeColor="accent1" w:themeShade="BF"/>
      <w:sz w:val="26"/>
      <w:szCs w:val="26"/>
    </w:rPr>
  </w:style>
  <w:style w:type="paragraph" w:customStyle="1" w:styleId="61">
    <w:name w:val="Recuo de corpo de texto 21"/>
    <w:basedOn w:val="1"/>
    <w:qFormat/>
    <w:uiPriority w:val="0"/>
    <w:pPr>
      <w:suppressAutoHyphens/>
      <w:spacing w:after="0" w:line="240" w:lineRule="auto"/>
      <w:ind w:left="2268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customStyle="1" w:styleId="62">
    <w:name w:val="Standard"/>
    <w:qFormat/>
    <w:uiPriority w:val="0"/>
    <w:pPr>
      <w:suppressAutoHyphens/>
      <w:autoSpaceDN w:val="0"/>
      <w:spacing w:after="200" w:line="276" w:lineRule="auto"/>
      <w:textAlignment w:val="baseline"/>
    </w:pPr>
    <w:rPr>
      <w:rFonts w:ascii="Courier New" w:hAnsi="Courier New" w:eastAsia="Lucida Sans Unicode" w:cs="Mangal"/>
      <w:kern w:val="3"/>
      <w:sz w:val="22"/>
      <w:szCs w:val="24"/>
      <w:lang w:val="pt-BR" w:eastAsia="zh-CN" w:bidi="hi-IN"/>
    </w:rPr>
  </w:style>
  <w:style w:type="paragraph" w:customStyle="1" w:styleId="63">
    <w:name w:val="Padrão"/>
    <w:qFormat/>
    <w:uiPriority w:val="0"/>
    <w:pPr>
      <w:tabs>
        <w:tab w:val="left" w:pos="708"/>
      </w:tabs>
      <w:suppressAutoHyphens/>
      <w:spacing w:after="200" w:line="276" w:lineRule="auto"/>
    </w:pPr>
    <w:rPr>
      <w:rFonts w:ascii="Courier New" w:hAnsi="Courier New" w:eastAsia="Lucida Sans Unicode" w:cs="Mangal"/>
      <w:color w:val="00000A"/>
      <w:sz w:val="22"/>
      <w:szCs w:val="24"/>
      <w:lang w:val="pt-BR" w:eastAsia="zh-CN" w:bidi="hi-IN"/>
    </w:rPr>
  </w:style>
  <w:style w:type="paragraph" w:customStyle="1" w:styleId="64">
    <w:name w:val="Corpo de texto 32"/>
    <w:basedOn w:val="1"/>
    <w:qFormat/>
    <w:uiPriority w:val="0"/>
    <w:pPr>
      <w:spacing w:after="120" w:line="240" w:lineRule="auto"/>
    </w:pPr>
    <w:rPr>
      <w:rFonts w:ascii="Times New Roman" w:hAnsi="Times New Roman" w:eastAsia="Times New Roman" w:cs="Times New Roman"/>
      <w:sz w:val="16"/>
      <w:szCs w:val="16"/>
      <w:lang w:eastAsia="ar-SA"/>
    </w:rPr>
  </w:style>
  <w:style w:type="paragraph" w:customStyle="1" w:styleId="65">
    <w:name w:val="artart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character" w:customStyle="1" w:styleId="66">
    <w:name w:val="Ref. de nota de rodapé1"/>
    <w:qFormat/>
    <w:uiPriority w:val="0"/>
    <w:rPr>
      <w:vertAlign w:val="superscript"/>
    </w:rPr>
  </w:style>
  <w:style w:type="character" w:customStyle="1" w:styleId="67">
    <w:name w:val="Ref. de nota de rodapé3"/>
    <w:qFormat/>
    <w:uiPriority w:val="0"/>
    <w:rPr>
      <w:vertAlign w:val="superscript"/>
    </w:rPr>
  </w:style>
  <w:style w:type="paragraph" w:customStyle="1" w:styleId="68">
    <w:name w:val="Texto de nota de rodapé1"/>
    <w:basedOn w:val="1"/>
    <w:qFormat/>
    <w:uiPriority w:val="0"/>
    <w:pPr>
      <w:widowControl w:val="0"/>
      <w:suppressAutoHyphens/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ar-SA"/>
    </w:rPr>
  </w:style>
  <w:style w:type="paragraph" w:customStyle="1" w:styleId="69">
    <w:name w:val="Recuo de corpo de texto 22"/>
    <w:basedOn w:val="1"/>
    <w:qFormat/>
    <w:uiPriority w:val="0"/>
    <w:pPr>
      <w:suppressAutoHyphens/>
      <w:spacing w:before="120" w:after="0" w:line="360" w:lineRule="atLeast"/>
      <w:ind w:left="1080"/>
      <w:jc w:val="both"/>
    </w:pPr>
    <w:rPr>
      <w:rFonts w:ascii="Times New Roman" w:hAnsi="Times New Roman" w:eastAsia="Times New Roman" w:cs="Times New Roman"/>
      <w:sz w:val="20"/>
      <w:szCs w:val="20"/>
      <w:lang w:eastAsia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zkCtVFdXR4F3fZ0CemZj17pGMA==">CgMxLjAyCGguZ2pkZ3hzMgloLjMwajB6bGw4AHIhMW1Kb05jdkEtSk82cm1HRE5XblZFWFZJWWNLUGN6WUpW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1218</Words>
  <Characters>6583</Characters>
  <TotalTime>4</TotalTime>
  <ScaleCrop>false</ScaleCrop>
  <LinksUpToDate>false</LinksUpToDate>
  <CharactersWithSpaces>7759</CharactersWithSpaces>
  <Application>WPS Office_11.2.0.11191_F1E327BC-269C-435d-A152-05C5408002CA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2020-04-16T20:54:00Z</dcterms:created>
  <dc:creator>Lais Lage dos Santos</dc:creator>
  <cp:lastModifiedBy>dpe</cp:lastModifiedBy>
  <dcterms:modified xsi:type="dcterms:W3CDTF">2025-10-24T18:25:14Z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1046-11.2.0.11191</vt:lpwstr>
  </property>
  <property fmtid="{D5CDD505-2E9C-101B-9397-08002B2CF9AE}" pid="3" name="ICV">
    <vt:lpwstr>DD9902467B1B4BF8BAD59A4408012BFB</vt:lpwstr>
  </property>
</Properties>
</file>