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1F3D0FF" w:rsidP="487F1626" w:rsidRDefault="61F3D0FF" w14:paraId="76DAA7A7" w14:textId="6B7959E4">
      <w:pPr>
        <w:spacing w:before="240" w:beforeAutospacing="off" w:after="240" w:afterAutospacing="off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AO JUÍZO DA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varaCompetente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</w:t>
      </w:r>
    </w:p>
    <w:p w:rsidR="487F1626" w:rsidP="487F1626" w:rsidRDefault="487F1626" w14:paraId="3B759472" w14:textId="137C723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101C53FB" w14:textId="5E3877F2">
      <w:pPr>
        <w:bidi w:val="1"/>
        <w:spacing w:before="240" w:beforeAutospacing="off" w:after="240" w:afterAutospacing="off"/>
        <w:ind w:left="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ATENDIMENTO SOLAR Nº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triagemNumero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</w:t>
      </w:r>
    </w:p>
    <w:p w:rsidR="487F1626" w:rsidP="487F1626" w:rsidRDefault="487F1626" w14:paraId="10C231E0" w14:textId="1672341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71EBFC61" w14:textId="6EA8A4D4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[{{nome}}, incapaz, nascido(a) em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dataNascimentoAssistido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CPF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cpf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}}], neste ato representado(a)(s) por [{{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representanteNome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representanteNacionalidade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representanteEstadoCivil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representanteOcupacao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CPF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representanteCpf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endereços residencial/profissional/eletrônico: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representanteEnderecoResidencial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/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representanteEnderecoProfissional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/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representanteEmail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telefone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representanteTelefone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}}], vem, perante esse Juízo, assistido(a) pela DEFENSORIA PÚBLICA DO ESTADO DA BAHIA, por um dos seus membros que a esta subscreve, na forma do artigo 134 da Constituição Federal, da Lei Complementar Federal nº 80/94 e da Lei Complementar Estadual nº 26/06, ajuizar a presente</w:t>
      </w:r>
    </w:p>
    <w:p w:rsidR="487F1626" w:rsidP="487F1626" w:rsidRDefault="487F1626" w14:paraId="05C60904" w14:textId="08D0E51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17A391F3" w14:textId="3854715C">
      <w:pPr>
        <w:spacing w:before="240" w:beforeAutospacing="off" w:after="240" w:afterAutospacing="off"/>
        <w:jc w:val="center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AÇÃO DE FIXAÇÃO DE ALIMENTOS COM PEDIDO DE ALIMENTOS PROVISÓRIOS</w:t>
      </w:r>
    </w:p>
    <w:p w:rsidR="487F1626" w:rsidP="487F1626" w:rsidRDefault="487F1626" w14:paraId="045EBB46" w14:textId="1494918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39493FFB" w14:textId="15F179DF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face de [{{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nomeRequerido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requeridoNacionalidade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requeridoEstadoCivil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requeridoOcupacao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CPF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cpfRequerido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endereços residencial/profissional/eletrônico: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enderecoRequerido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/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requeridoEnderecoProfissional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/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requeridoEmail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telefone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requeridoTelefone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}}], pelos motivos de fato e de direito a seguir expostos:</w:t>
      </w:r>
    </w:p>
    <w:p w:rsidR="487F1626" w:rsidP="487F1626" w:rsidRDefault="487F1626" w14:paraId="123612CB" w14:textId="2B77022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519A1FD9" w14:textId="17C255EA">
      <w:pPr>
        <w:spacing w:before="240" w:beforeAutospacing="off" w:after="240" w:afterAutospacing="off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I. DAS PRERROGATIVAS INSTITUCIONAIS</w:t>
      </w:r>
    </w:p>
    <w:p w:rsidR="61F3D0FF" w:rsidP="487F1626" w:rsidRDefault="61F3D0FF" w14:paraId="397BAAFB" w14:textId="53E38073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Inicialmente, ressalta-se que por estar a parte requerente assistida pela Defensoria Pública do Estado da Bahia, é de direito a observância das prerrogativas funcionais desta instituição, tais como a contagem em dobro dos prazos processuais e a intimação pessoal dos 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:rsidR="487F1626" w:rsidP="487F1626" w:rsidRDefault="487F1626" w14:paraId="41AC98DA" w14:textId="0005987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5744B86C" w14:textId="57BDA9E9">
      <w:pPr>
        <w:spacing w:before="240" w:beforeAutospacing="off" w:after="240" w:afterAutospacing="off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II. DA GRATUIDADE DE JUSTIÇA</w:t>
      </w:r>
    </w:p>
    <w:p w:rsidR="487F1626" w:rsidP="487F1626" w:rsidRDefault="487F1626" w14:paraId="6C88F3EA" w14:textId="0CC2D9E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6CEB0033" w14:textId="4F5372B0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98 e seguintes do Código de Processo Civil.</w:t>
      </w:r>
    </w:p>
    <w:p w:rsidR="487F1626" w:rsidP="487F1626" w:rsidRDefault="487F1626" w14:paraId="2182A24B" w14:textId="70304EB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2D63D468" w14:textId="36C7FDC7">
      <w:pPr>
        <w:spacing w:before="240" w:beforeAutospacing="off" w:after="240" w:afterAutospacing="off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III. DOS FATOS</w:t>
      </w:r>
    </w:p>
    <w:p w:rsidR="61F3D0FF" w:rsidP="487F1626" w:rsidRDefault="61F3D0FF" w14:paraId="3845D57D" w14:textId="1AA36750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autor é filho do requerido, conforme é possível aduzir do seu documento de identificação em anexo. Encontra-se a parte alimentanda sob a guarda de fato da genitora, sendo livre e desimpedido o direito de convivência exercido pelo pai.</w:t>
      </w:r>
    </w:p>
    <w:p w:rsidR="61F3D0FF" w:rsidP="487F1626" w:rsidRDefault="61F3D0FF" w14:paraId="28976592" w14:textId="3C9F5547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Ocorre que, no caso em tela, os recursos financeiros da genitora vêm se mostrando insuficientes para arcar de forma satisfatória com as despesas básicas e comuns a qualquer criança ou adolescente, como alimentação, vestuário, moradia, saúde, lazer, educação, dentre outras.</w:t>
      </w:r>
    </w:p>
    <w:p w:rsidR="61F3D0FF" w:rsidP="487F1626" w:rsidRDefault="61F3D0FF" w14:paraId="717D1470" w14:textId="297A5922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é sabido, o dispêndio com a criação dos filhos não pode ser suportado apenas pela genitora, sendo obrigação de ambos os pais conceder assistência material. Assim, certo é que a parte autora (credora), face às circunstâncias do caso concreto, não pode deixar de exercer o direito a alimentos devidos pela parte requerida (devedora).</w:t>
      </w:r>
    </w:p>
    <w:p w:rsidR="61F3D0FF" w:rsidP="487F1626" w:rsidRDefault="61F3D0FF" w14:paraId="4A4E1103" w14:textId="2B4C4CC5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Insta salientar que a genitora da parte requerente solicitou por diversas vezes o auxílio financeiro do requerido, porém não obteve êxito, restando como alternativa recorrer ao Poder Judiciário com a pretensão de compelir a parte requerida a cumprir com a obrigação de prestar alimentos.</w:t>
      </w:r>
    </w:p>
    <w:p w:rsidR="61F3D0FF" w:rsidP="487F1626" w:rsidRDefault="61F3D0FF" w14:paraId="2E26475A" w14:textId="5417FDE4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{{relato}}</w:t>
      </w:r>
    </w:p>
    <w:p w:rsidR="487F1626" w:rsidP="487F1626" w:rsidRDefault="487F1626" w14:paraId="318604C7" w14:textId="46BDE50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2E170B33" w14:textId="79CEBB12">
      <w:pPr>
        <w:spacing w:before="240" w:beforeAutospacing="off" w:after="240" w:afterAutospacing="off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IV. DO DIREITO</w:t>
      </w:r>
    </w:p>
    <w:p w:rsidR="61F3D0FF" w:rsidP="487F1626" w:rsidRDefault="61F3D0FF" w14:paraId="01BBD81A" w14:textId="0424D546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Apesar de ser legalmente obrigada (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227 e 229 da CRFB c/c 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4º e 22, do ECA, e 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:rsidR="61F3D0FF" w:rsidP="487F1626" w:rsidRDefault="61F3D0FF" w14:paraId="4BC7347C" w14:textId="23AB3FA3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:rsidR="61F3D0FF" w:rsidP="487F1626" w:rsidRDefault="61F3D0FF" w14:paraId="231AD724" w14:textId="4B8D4DB4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Consoante Cristiano Chaves de Farias e Nelson 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Rosenvald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considerando a obrigação alimentar uma consequência do poder familiar, “há presunção das múltiplas necessidades do filho menor, independendo da sua condição econômica...”.</w:t>
      </w:r>
    </w:p>
    <w:p w:rsidR="61F3D0FF" w:rsidP="487F1626" w:rsidRDefault="61F3D0FF" w14:paraId="13390582" w14:textId="4910E091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regra, a prestação de alimentos deve atender à relação entre necessidade e possibilidade (art. 1.694, §1º, CC). Porém, enquanto os filhos são menores, a presunção é absoluta (juris et de jure). Tanto é assim que, mesmo não requeridos alimentos provisórios, deve o juiz fixá-los (art. 4º da Lei 5.478/68).</w:t>
      </w:r>
    </w:p>
    <w:p w:rsidR="61F3D0FF" w:rsidP="487F1626" w:rsidRDefault="61F3D0FF" w14:paraId="1F3A31A6" w14:textId="54568843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Nesse sentido, e considerando o caso concreto, é adequado o valor requerido:</w:t>
      </w:r>
    </w:p>
    <w:p w:rsidR="61F3D0FF" w:rsidP="487F1626" w:rsidRDefault="61F3D0FF" w14:paraId="29DCF61B" w14:textId="415C3CB6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– Percentual sobre </w:t>
      </w:r>
      <w:r w:rsidRPr="487F1626" w:rsidR="06B2F7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salário-mínimo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percentualSmRequerido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</w:t>
      </w:r>
    </w:p>
    <w:p w:rsidR="61F3D0FF" w:rsidP="487F1626" w:rsidRDefault="61F3D0FF" w14:paraId="038E815F" w14:textId="369484F3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– Percentual sobre despesas extraordinárias: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percentualDespesasExtra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</w:t>
      </w:r>
    </w:p>
    <w:p w:rsidR="61F3D0FF" w:rsidP="487F1626" w:rsidRDefault="61F3D0FF" w14:paraId="36BD3E2F" w14:textId="27A19DCC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– Valor provisório de referência (se houver):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valorProvisorioReferencia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</w:t>
      </w:r>
    </w:p>
    <w:p w:rsidR="61F3D0FF" w:rsidP="487F1626" w:rsidRDefault="61F3D0FF" w14:paraId="715E796C" w14:textId="45871ACB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– Dia pretendido de pagamento: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diaPagamentoRequerido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</w:t>
      </w:r>
    </w:p>
    <w:p w:rsidR="487F1626" w:rsidP="487F1626" w:rsidRDefault="487F1626" w14:paraId="40F6858D" w14:textId="158F514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1F3D0FF" w:rsidP="487F1626" w:rsidRDefault="61F3D0FF" w14:paraId="7ABCA6D0" w14:textId="35193291">
      <w:pPr>
        <w:spacing w:before="240" w:beforeAutospacing="off" w:after="240" w:afterAutospacing="off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V. DOS PEDIDOS</w:t>
      </w:r>
    </w:p>
    <w:p w:rsidR="61F3D0FF" w:rsidP="487F1626" w:rsidRDefault="61F3D0FF" w14:paraId="63F775BE" w14:textId="00E7D1B6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Ante o exposto, requer:</w:t>
      </w:r>
    </w:p>
    <w:p w:rsidR="61F3D0FF" w:rsidP="487F1626" w:rsidRDefault="61F3D0FF" w14:paraId="2B0FC18D" w14:textId="7757C4E0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a) o deferimento da justiça gratuita, bem como sejam observadas as prerrogativas dos membros da Defensoria Pública;</w:t>
      </w:r>
    </w:p>
    <w:p w:rsidR="61F3D0FF" w:rsidP="487F1626" w:rsidRDefault="61F3D0FF" w14:paraId="594A7B6D" w14:textId="156F123B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b) a garantia de prioridade de tramitação;</w:t>
      </w:r>
    </w:p>
    <w:p w:rsidR="61F3D0FF" w:rsidP="487F1626" w:rsidRDefault="61F3D0FF" w14:paraId="6A94F17B" w14:textId="4E96F919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c) a intimação do Ministério Público;</w:t>
      </w:r>
    </w:p>
    <w:p w:rsidR="61F3D0FF" w:rsidP="487F1626" w:rsidRDefault="61F3D0FF" w14:paraId="67C5B029" w14:textId="11812AAB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d) liminarmente, o arbitramento de alimentos provisórios no valor de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percentualSmRequerido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}} do 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salário mínimo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vigente, além de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percentualDespesasExtra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}}%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dos gastos extraordinários com saúde, educação e vestuário, até o dia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diaPagamentoRequerido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de cada mês, a ser creditado em: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dadosBancariosDeposito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}};</w:t>
      </w:r>
    </w:p>
    <w:p w:rsidR="61F3D0FF" w:rsidP="487F1626" w:rsidRDefault="61F3D0FF" w14:paraId="5EE9E14C" w14:textId="4043A776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e) o envio de ofício ao INSS e à CEF, a fim de informarem eventual vínculo empregatício ativo do alimentante; </w:t>
      </w:r>
    </w:p>
    <w:p w:rsidR="61F3D0FF" w:rsidP="487F1626" w:rsidRDefault="61F3D0FF" w14:paraId="1B7F95AA" w14:textId="14317BAC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{{#if 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requeridoTemEmpregoFormal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SE HOUVER VÍNCULO EMPREGATÍCIO → o envio de ofício ao ente empregador [{{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empregadorRequeridoNome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endereço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empregadorRequeridoEndereco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e-mail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empregadorEmail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}}], para que os alimentos sejam descontados diretamente em folha, nos termos do art. 529 do CPC; {{/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if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</w:t>
      </w:r>
    </w:p>
    <w:p w:rsidR="61F3D0FF" w:rsidP="487F1626" w:rsidRDefault="61F3D0FF" w14:paraId="054B7682" w14:textId="0E4AB931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f) citação do requerido para audiência de conciliação e mediação;</w:t>
      </w:r>
    </w:p>
    <w:p w:rsidR="61F3D0FF" w:rsidP="487F1626" w:rsidRDefault="61F3D0FF" w14:paraId="21F987B9" w14:textId="4C8F51D5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g) ao final, a condenação ao pagamento </w:t>
      </w:r>
      <w:r w:rsidRPr="487F1626" w:rsidR="61F3D0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definitivo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alimentos no valor de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percentualDefinitivoSalarioMin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}} do 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salário mínimo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mais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percentualDefinitivoExtras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}}%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das despesas extraordinárias, até o dia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diaPagamentoRequerido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de cada mês, mediante depósito na conta acima indicada;</w:t>
      </w:r>
    </w:p>
    <w:p w:rsidR="61F3D0FF" w:rsidP="487F1626" w:rsidRDefault="61F3D0FF" w14:paraId="43EDF160" w14:textId="35676211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h) a condenação do requerido nas custas processuais e honorários revertidos ao FAJDPE/BA, conforme dados bancários descritos no modelo original;</w:t>
      </w:r>
    </w:p>
    <w:p w:rsidR="61F3D0FF" w:rsidP="487F1626" w:rsidRDefault="61F3D0FF" w14:paraId="28CCD16C" w14:textId="7E258BEE">
      <w:pPr>
        <w:spacing w:before="240" w:beforeAutospacing="off" w:after="240" w:afterAutospacing="off"/>
        <w:ind w:firstLine="720"/>
        <w:jc w:val="both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i) por fim, requer intimação pessoal da parte autora sempre que seus atos dependerem de providência exclusiva desta.</w:t>
      </w:r>
    </w:p>
    <w:p w:rsidR="61F3D0FF" w:rsidP="487F1626" w:rsidRDefault="61F3D0FF" w14:paraId="447CCDA2" w14:textId="2918319E">
      <w:pPr>
        <w:spacing w:before="240" w:beforeAutospacing="off" w:after="240" w:afterAutospacing="off"/>
        <w:jc w:val="center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Protesta pela produção de todos os meios de prova admitidos em direito.</w:t>
      </w:r>
    </w:p>
    <w:p w:rsidR="61F3D0FF" w:rsidP="487F1626" w:rsidRDefault="61F3D0FF" w14:paraId="3733E25A" w14:textId="66777D9E">
      <w:pPr>
        <w:spacing w:before="240" w:beforeAutospacing="off" w:after="240" w:afterAutospacing="off"/>
        <w:jc w:val="center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Dá-se à causa o valor de R$ 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valorCausa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 ({{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valorCausaExtenso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}}).</w:t>
      </w:r>
    </w:p>
    <w:p w:rsidR="61F3D0FF" w:rsidP="487F1626" w:rsidRDefault="61F3D0FF" w14:paraId="31F63DCA" w14:textId="7D27823A">
      <w:pPr>
        <w:spacing w:before="240" w:beforeAutospacing="off" w:after="240" w:afterAutospacing="off"/>
        <w:jc w:val="center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{{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cidadeAssinatura</w:t>
      </w: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}}, datado e assinado eletronicamente.</w:t>
      </w:r>
    </w:p>
    <w:p w:rsidR="0DA85B7F" w:rsidP="487F1626" w:rsidRDefault="0DA85B7F" w14:paraId="229E8F58" w14:textId="34E5BFE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7F1626" w:rsidR="0DA85B7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ASSINATURA DO DEFENSOR (A)</w:t>
      </w:r>
    </w:p>
    <w:p w:rsidR="61F3D0FF" w:rsidP="487F1626" w:rsidRDefault="61F3D0FF" w14:paraId="2417B501" w14:textId="46584A55">
      <w:pPr>
        <w:spacing w:before="240" w:beforeAutospacing="off" w:after="240" w:afterAutospacing="off"/>
        <w:jc w:val="center"/>
      </w:pPr>
      <w:r w:rsidRPr="487F1626" w:rsidR="61F3D0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Defensora Pública do Estado da Bahia</w:t>
      </w:r>
    </w:p>
    <w:p w:rsidR="487F1626" w:rsidP="487F1626" w:rsidRDefault="487F1626" w14:paraId="7AACE2C4" w14:textId="2DA74253">
      <w:pPr>
        <w:tabs>
          <w:tab w:val="left" w:leader="none" w:pos="0"/>
          <w:tab w:val="left" w:leader="none" w:pos="880"/>
        </w:tabs>
        <w:spacing w:after="0" w:line="360" w:lineRule="auto"/>
        <w:ind w:firstLine="19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C85264">
      <w:headerReference w:type="default" r:id="rId8"/>
      <w:footerReference w:type="default" r:id="rId9"/>
      <w:pgSz w:w="11906" w:h="16838" w:orient="portrait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74E3" w:rsidRDefault="006B74E3" w14:paraId="63176616" w14:textId="77777777">
      <w:pPr>
        <w:spacing w:line="240" w:lineRule="auto"/>
      </w:pPr>
      <w:r>
        <w:separator/>
      </w:r>
    </w:p>
  </w:endnote>
  <w:endnote w:type="continuationSeparator" w:id="0">
    <w:p w:rsidR="006B74E3" w:rsidRDefault="006B74E3" w14:paraId="087F272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264" w:rsidRDefault="00C85264" w14:paraId="6BB9E253" w14:textId="77777777">
    <w:pP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</w:p>
  <w:p w:rsidR="00C85264" w:rsidRDefault="006B74E3" w14:paraId="14B0D092" w14:textId="77777777">
    <w:pPr>
      <w:spacing w:after="0" w:line="240" w:lineRule="auto"/>
      <w:jc w:val="center"/>
      <w:rPr>
        <w:rFonts w:ascii="Calibri" w:hAnsi="Calibri" w:eastAsia="Arial" w:cs="Calibri"/>
        <w:sz w:val="20"/>
        <w:szCs w:val="20"/>
      </w:rPr>
    </w:pPr>
    <w:r>
      <w:rPr>
        <w:rFonts w:ascii="Calibri" w:hAnsi="Calibri" w:eastAsia="Arial" w:cs="Calibri"/>
        <w:sz w:val="20"/>
        <w:szCs w:val="20"/>
      </w:rPr>
      <w:t>Rua Águas Claras, 523, Bairro Bela Vista, CEP 45990-280, Teixeira de Freitas/BA</w:t>
    </w:r>
  </w:p>
  <w:p w:rsidR="00C85264" w:rsidRDefault="006B74E3" w14:paraId="3B5CB99C" w14:textId="77777777">
    <w:pPr>
      <w:spacing w:after="0" w:line="240" w:lineRule="auto"/>
      <w:jc w:val="center"/>
      <w:rPr>
        <w:rFonts w:ascii="Calibri" w:hAnsi="Calibri" w:eastAsia="Arial" w:cs="Calibri"/>
        <w:sz w:val="20"/>
        <w:szCs w:val="20"/>
      </w:rPr>
    </w:pPr>
    <w:r>
      <w:rPr>
        <w:rFonts w:ascii="Calibri" w:hAnsi="Calibri" w:eastAsia="Arial" w:cs="Calibri"/>
        <w:sz w:val="20"/>
        <w:szCs w:val="20"/>
      </w:rPr>
      <w:t>Tel.: (73) 32</w:t>
    </w:r>
    <w:r>
      <w:rPr>
        <w:rFonts w:ascii="Calibri" w:hAnsi="Calibri" w:eastAsia="Arial" w:cs="Calibri"/>
        <w:sz w:val="20"/>
        <w:szCs w:val="20"/>
      </w:rPr>
      <w:t>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74E3" w:rsidRDefault="006B74E3" w14:paraId="006021D2" w14:textId="77777777">
      <w:pPr>
        <w:spacing w:after="0"/>
      </w:pPr>
      <w:r>
        <w:separator/>
      </w:r>
    </w:p>
  </w:footnote>
  <w:footnote w:type="continuationSeparator" w:id="0">
    <w:p w:rsidR="006B74E3" w:rsidRDefault="006B74E3" w14:paraId="6A3E069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85264" w:rsidRDefault="006B74E3" w14:paraId="23DE523C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  <w:r>
      <w:rPr>
        <w:rFonts w:ascii="Calibri" w:hAnsi="Calibri" w:eastAsia="Arial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85264" w:rsidRDefault="00C85264" w14:paraId="52E56223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47ad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num w:numId="2">
    <w:abstractNumId w:val="1"/>
  </w:num>
  <w:num w:numId="1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6B74E3"/>
    <w:rsid w:val="00795B8F"/>
    <w:rsid w:val="00C85264"/>
    <w:rsid w:val="06B2F71E"/>
    <w:rsid w:val="06FA5B07"/>
    <w:rsid w:val="06FBE106"/>
    <w:rsid w:val="0762ED0E"/>
    <w:rsid w:val="0DA85B7F"/>
    <w:rsid w:val="11495807"/>
    <w:rsid w:val="127667EF"/>
    <w:rsid w:val="176A427A"/>
    <w:rsid w:val="196516C8"/>
    <w:rsid w:val="196F9B87"/>
    <w:rsid w:val="1A04A59D"/>
    <w:rsid w:val="1AEA4BE9"/>
    <w:rsid w:val="1C8B77F5"/>
    <w:rsid w:val="1FF7333D"/>
    <w:rsid w:val="25835278"/>
    <w:rsid w:val="27646502"/>
    <w:rsid w:val="29CA0187"/>
    <w:rsid w:val="341E9DB0"/>
    <w:rsid w:val="344F1ED9"/>
    <w:rsid w:val="34F2826B"/>
    <w:rsid w:val="359D05B6"/>
    <w:rsid w:val="374C4C14"/>
    <w:rsid w:val="39526254"/>
    <w:rsid w:val="39946560"/>
    <w:rsid w:val="3B0547DF"/>
    <w:rsid w:val="43D621B4"/>
    <w:rsid w:val="446E6C24"/>
    <w:rsid w:val="474850B3"/>
    <w:rsid w:val="475A64D6"/>
    <w:rsid w:val="487F1626"/>
    <w:rsid w:val="4A9F5149"/>
    <w:rsid w:val="4AE2DF68"/>
    <w:rsid w:val="4AEE441F"/>
    <w:rsid w:val="4DF77118"/>
    <w:rsid w:val="50478F9C"/>
    <w:rsid w:val="544B42E8"/>
    <w:rsid w:val="55646B1E"/>
    <w:rsid w:val="57AC0472"/>
    <w:rsid w:val="57CF0FC5"/>
    <w:rsid w:val="5AC80347"/>
    <w:rsid w:val="60B60A66"/>
    <w:rsid w:val="61AF10AD"/>
    <w:rsid w:val="61F3D0FF"/>
    <w:rsid w:val="62B3ACDC"/>
    <w:rsid w:val="644984E8"/>
    <w:rsid w:val="667F6066"/>
    <w:rsid w:val="66C94102"/>
    <w:rsid w:val="67ABD5D5"/>
    <w:rsid w:val="67C02619"/>
    <w:rsid w:val="6BD6B233"/>
    <w:rsid w:val="6DA60772"/>
    <w:rsid w:val="70C67F53"/>
    <w:rsid w:val="74EB73A4"/>
    <w:rsid w:val="75201A07"/>
    <w:rsid w:val="768B8393"/>
    <w:rsid w:val="7A0F0F2D"/>
    <w:rsid w:val="7ADB1D32"/>
    <w:rsid w:val="7BA344AB"/>
    <w:rsid w:val="7D9B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semiHidden="1" w:unhideWhenUsed="1" w:qFormat="1"/>
    <w:lsdException w:name="heading 4" w:qFormat="1"/>
    <w:lsdException w:name="heading 5" w:uiPriority="9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uiPriority="1" w:semiHidden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qFormat="1"/>
    <w:lsdException w:name="HTML Preformatted" w:qFormat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34" w:qFormat="1"/>
    <w:lsdException w:name="Quote" w:qFormat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hAnsi="Arial" w:eastAsia="Times New Roman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Autospacing="1" w:after="0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hAnsi="Lucida Sans" w:eastAsia="Times New Roman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hAnsi="Arial" w:eastAsia="Times New Roman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hAnsi="Arial Unicode MS" w:eastAsia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hAnsi="Verdana" w:eastAsia="Arial Unicode MS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abealhoChar" w:customStyle="1">
    <w:name w:val="Cabeçalho Char"/>
    <w:basedOn w:val="Fontepargpadro"/>
    <w:link w:val="Cabealho"/>
    <w:uiPriority w:val="99"/>
    <w:qFormat/>
  </w:style>
  <w:style w:type="character" w:styleId="RodapChar" w:customStyle="1">
    <w:name w:val="Rodapé Char"/>
    <w:basedOn w:val="Fontepargpadro"/>
    <w:link w:val="Rodap"/>
    <w:qFormat/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Fontepargpadro"/>
    <w:link w:val="Ttulo1"/>
    <w:qFormat/>
    <w:rPr>
      <w:rFonts w:ascii="Arial" w:hAnsi="Arial" w:eastAsia="Times New Roman" w:cs="Times New Roman"/>
      <w:sz w:val="28"/>
      <w:szCs w:val="20"/>
      <w:lang w:eastAsia="pt-BR"/>
    </w:rPr>
  </w:style>
  <w:style w:type="paragraph" w:styleId="WW-NormalWeb" w:customStyle="1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WW-Recuodecorpodetexto3" w:customStyle="1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qFormat/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qFormat/>
    <w:rPr>
      <w:rFonts w:ascii="Arial" w:hAnsi="Arial" w:eastAsia="Times New Roman" w:cs="Times New Roman"/>
      <w:color w:val="000000"/>
      <w:sz w:val="28"/>
      <w:szCs w:val="20"/>
    </w:rPr>
  </w:style>
  <w:style w:type="character" w:styleId="Corpodetexto2Char" w:customStyle="1">
    <w:name w:val="Corpo de texto 2 Char"/>
    <w:basedOn w:val="Fontepargpadro"/>
    <w:link w:val="Corpodetexto2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CorpodetextoChar" w:customStyle="1">
    <w:name w:val="Corpo de texto Char"/>
    <w:basedOn w:val="Fontepargpadro"/>
    <w:link w:val="Corpodetexto"/>
    <w:qFormat/>
    <w:rPr>
      <w:rFonts w:ascii="Times New Roman" w:hAnsi="Times New Roman" w:eastAsia="Times New Roman" w:cs="Times New Roman"/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qFormat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orpodetexto3Char" w:customStyle="1">
    <w:name w:val="Corpo de texto 3 Char"/>
    <w:basedOn w:val="Fontepargpadro"/>
    <w:link w:val="Corpodetexto3"/>
    <w:qFormat/>
    <w:rPr>
      <w:rFonts w:ascii="Times New Roman" w:hAnsi="Times New Roman" w:eastAsia="Times New Roman" w:cs="Times New Roman"/>
      <w:sz w:val="16"/>
      <w:szCs w:val="16"/>
    </w:rPr>
  </w:style>
  <w:style w:type="character" w:styleId="Pr-formataoHTMLChar" w:customStyle="1">
    <w:name w:val="Pré-formatação HTML Char"/>
    <w:basedOn w:val="Fontepargpadro"/>
    <w:link w:val="Pr-formataoHTML"/>
    <w:qFormat/>
    <w:rPr>
      <w:rFonts w:ascii="Verdana" w:hAnsi="Verdana" w:eastAsia="Arial Unicode MS" w:cs="Arial Unicode MS"/>
      <w:sz w:val="20"/>
      <w:szCs w:val="20"/>
      <w:lang w:eastAsia="pt-BR"/>
    </w:rPr>
  </w:style>
  <w:style w:type="character" w:styleId="highlightbrs1" w:customStyle="1">
    <w:name w:val="highlightbrs1"/>
    <w:qFormat/>
    <w:rPr>
      <w:b/>
      <w:bCs/>
      <w:color w:val="FF0000"/>
    </w:rPr>
  </w:style>
  <w:style w:type="character" w:styleId="CaracteresdeNotadeRodap" w:customStyle="1">
    <w:name w:val="Caracteres de Nota de Rodapé"/>
    <w:qFormat/>
    <w:rPr>
      <w:vertAlign w:val="superscript"/>
    </w:rPr>
  </w:style>
  <w:style w:type="character" w:styleId="Caracteresdenotaderodap0" w:customStyle="1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styleId="PargrafoNormal" w:customStyle="1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hAnsi="Arial" w:eastAsia="Times New Roman" w:cs="Times New Roman"/>
      <w:sz w:val="24"/>
      <w:szCs w:val="24"/>
      <w:lang w:val="zh-CN" w:eastAsia="zh-CN"/>
    </w:rPr>
  </w:style>
  <w:style w:type="character" w:styleId="PargrafoNormalChar" w:customStyle="1">
    <w:name w:val="Parágrafo Normal Char"/>
    <w:link w:val="PargrafoNormal"/>
    <w:qFormat/>
    <w:rPr>
      <w:rFonts w:ascii="Arial" w:hAnsi="Arial" w:eastAsia="Times New Roman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hAnsi="Arial" w:eastAsia="Times New Roman" w:cs="Times New Roman"/>
      <w:i/>
      <w:iCs/>
      <w:lang w:val="zh-CN" w:eastAsia="zh-CN"/>
    </w:rPr>
  </w:style>
  <w:style w:type="character" w:styleId="CitaoChar" w:customStyle="1">
    <w:name w:val="Citação Char"/>
    <w:basedOn w:val="Fontepargpadro"/>
    <w:link w:val="Citao"/>
    <w:qFormat/>
    <w:rPr>
      <w:rFonts w:ascii="Arial" w:hAnsi="Arial" w:eastAsia="Times New Roman" w:cs="Times New Roman"/>
      <w:i/>
      <w:iCs/>
      <w:lang w:val="zh-CN" w:eastAsia="zh-CN"/>
    </w:rPr>
  </w:style>
  <w:style w:type="paragraph" w:styleId="text1" w:customStyle="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label" w:customStyle="1">
    <w:name w:val="label"/>
    <w:basedOn w:val="Fontepargpadro"/>
    <w:qFormat/>
  </w:style>
  <w:style w:type="paragraph" w:styleId="Recuodecorpodetexto31" w:customStyle="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hAnsi="Times New Roman" w:eastAsia="Times New Roman" w:cs="Calibri"/>
      <w:sz w:val="16"/>
      <w:szCs w:val="16"/>
      <w:lang w:eastAsia="ar-SA"/>
    </w:rPr>
  </w:style>
  <w:style w:type="character" w:styleId="TtuloChar" w:customStyle="1">
    <w:name w:val="Título Char"/>
    <w:basedOn w:val="Fontepargpadro"/>
    <w:link w:val="Ttulo"/>
    <w:qFormat/>
    <w:rPr>
      <w:rFonts w:ascii="Arial" w:hAnsi="Arial" w:eastAsia="Times New Roman" w:cs="Times New Roman"/>
      <w:b/>
      <w:bCs/>
      <w:sz w:val="28"/>
      <w:szCs w:val="24"/>
      <w:lang w:eastAsia="ar-SA"/>
    </w:rPr>
  </w:style>
  <w:style w:type="character" w:styleId="Refdenotaderodap2" w:customStyle="1">
    <w:name w:val="Ref. de nota de rodapé2"/>
    <w:qFormat/>
    <w:rPr>
      <w:vertAlign w:val="superscript"/>
    </w:rPr>
  </w:style>
  <w:style w:type="character" w:styleId="apple-converted-space" w:customStyle="1">
    <w:name w:val="apple-converted-space"/>
    <w:basedOn w:val="Fontepargpadro"/>
    <w:qFormat/>
  </w:style>
  <w:style w:type="character" w:styleId="Ttulo5Char" w:customStyle="1">
    <w:name w:val="Título 5 Char"/>
    <w:basedOn w:val="Fontepargpadro"/>
    <w:link w:val="Ttulo5"/>
    <w:uiPriority w:val="9"/>
    <w:semiHidden/>
    <w:qFormat/>
    <w:rPr>
      <w:rFonts w:asciiTheme="majorHAnsi" w:hAnsiTheme="majorHAnsi" w:eastAsiaTheme="majorEastAsia" w:cstheme="majorBidi"/>
      <w:color w:val="365F91" w:themeColor="accent1" w:themeShade="BF"/>
    </w:rPr>
  </w:style>
  <w:style w:type="paragraph" w:styleId="Corpodetexto21" w:customStyle="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hAnsi="Times New Roman" w:eastAsia="Times New Roman" w:cs="Times New Roman"/>
      <w:sz w:val="26"/>
      <w:szCs w:val="20"/>
      <w:lang w:eastAsia="ar-SA"/>
    </w:rPr>
  </w:style>
  <w:style w:type="paragraph" w:styleId="StyleCuzo" w:customStyle="1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styleId="Ttulo2Char" w:customStyle="1">
    <w:name w:val="Título 2 Char"/>
    <w:basedOn w:val="Fontepargpadro"/>
    <w:link w:val="Ttulo2"/>
    <w:uiPriority w:val="9"/>
    <w:qFormat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Recuodecorpodetexto21" w:customStyle="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Standard" w:customStyle="1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hAnsi="Courier New" w:eastAsia="Lucida Sans Unicode" w:cs="Mangal"/>
      <w:kern w:val="3"/>
      <w:sz w:val="22"/>
      <w:szCs w:val="24"/>
      <w:lang w:eastAsia="zh-CN" w:bidi="hi-IN"/>
    </w:rPr>
  </w:style>
  <w:style w:type="paragraph" w:styleId="Padro" w:customStyle="1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hAnsi="Courier New" w:eastAsia="Lucida Sans Unicode" w:cs="Mangal"/>
      <w:color w:val="00000A"/>
      <w:sz w:val="22"/>
      <w:szCs w:val="24"/>
      <w:lang w:eastAsia="zh-CN" w:bidi="hi-IN"/>
    </w:rPr>
  </w:style>
  <w:style w:type="paragraph" w:styleId="Corpodetexto32" w:customStyle="1">
    <w:name w:val="Corpo de texto 32"/>
    <w:basedOn w:val="Normal"/>
    <w:qFormat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eastAsia="ar-SA"/>
    </w:rPr>
  </w:style>
  <w:style w:type="paragraph" w:styleId="artart" w:customStyle="1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efdenotaderodap1" w:customStyle="1">
    <w:name w:val="Ref. de nota de rodapé1"/>
    <w:qFormat/>
    <w:rPr>
      <w:vertAlign w:val="superscript"/>
    </w:rPr>
  </w:style>
  <w:style w:type="character" w:styleId="Refdenotaderodap3" w:customStyle="1">
    <w:name w:val="Ref. de nota de rodapé3"/>
    <w:qFormat/>
    <w:rPr>
      <w:vertAlign w:val="superscript"/>
    </w:rPr>
  </w:style>
  <w:style w:type="paragraph" w:styleId="Textodenotaderodap1" w:customStyle="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Recuodecorpodetexto22" w:customStyle="1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Lais Lage dos Santos</dc:creator>
  <lastModifiedBy>weslley snts</lastModifiedBy>
  <revision>3</revision>
  <dcterms:created xsi:type="dcterms:W3CDTF">2025-11-19T19:22:00.0000000Z</dcterms:created>
  <dcterms:modified xsi:type="dcterms:W3CDTF">2025-11-24T18:11:57.2124720Z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