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pPr>
      <w:r>
        <w:t>AO JUÍZO DA {{vara}} DA COMARCA DE {{comarca}}</w:t>
      </w: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highlight w:val="yellow"/>
        </w:rPr>
      </w:pPr>
      <w:r>
        <w:t>TRIAGEM SIGAD/SOLAR Nº {{triagemNumero}}</w:t>
      </w: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color w:val="222222"/>
          <w:sz w:val="24"/>
          <w:szCs w:val="24"/>
          <w:highlight w:val="yellow"/>
        </w:rPr>
      </w:pP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color w:val="222222"/>
          <w:sz w:val="24"/>
          <w:szCs w:val="24"/>
          <w:highlight w:val="yellow"/>
        </w:rPr>
      </w:pPr>
    </w:p>
    <w:p>
      <w:pPr>
        <w:spacing w:after="0" w:line="360" w:lineRule="auto"/>
        <w:ind w:firstLine="1321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[{{requerente_nome}}, {{requerente_incapaz_sim_nao}}, nascido(a) em {{requerente_data_nascimento}}, CPF {{requerente_cpf}}], neste ato representado(a)(s) por [{{representante_nome}}, {{representante_nacionalidade}}, {{representante_estado_civil}}, {{representante_ocupacao}}, CPF {{representante_cpf}}, {{representante_endereco_residencial}}, {{representante_endereco_profissional}}, {{representante_email}}, {{representante_telefone}}], vem, perante esse Juízo, assistido(a) pela DEFENSORIA PÚBLICA DO ESTADO DA BAHIA, por um dos seus membros que a esta subscreve, na forma do artigo 134 da Constituição Federal, da Lei Complementar Federal nº 80/94 e da Lei Complementar Estadual nº 26/06, ajuizar a presente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AÇÃO DE FIXAÇÃO DE ALIMENTOS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COM PEDIDO DE ALIMENTOS PROVISÓRIOS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bookmarkStart w:id="0" w:name="_heading=h.gjdgxs" w:colFirst="0" w:colLast="0"/>
      <w:bookmarkEnd w:id="0"/>
      <w:r>
        <w:t>em face de [{{requerido_nome}}, {{requerido_nacionalidade}}, {{requerido_estado_civil}}, {{requerido_ocupacao}}, CPF {{requerido_cpf}}, {{requerido_endereco_residencial}}, {{requerido_endereco_profissional}}, {{requerido_email}}, {{requerido_telefone}}], pelos motivos de fato e de direito a seguir expostos:</w:t>
      </w: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I. DAS PRERROGATIVAS INSTITUCIONAIS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caput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e § 1º, do Código de Processo Civil.</w:t>
      </w:r>
    </w:p>
    <w:p>
      <w:pPr>
        <w:spacing w:after="0" w:line="360" w:lineRule="auto"/>
        <w:ind w:left="0" w:firstLine="1321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II. DA GRATUIDADE DE JUSTIÇA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arts. 98 e seguintes do Código de Processo Civil.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III. DOS FATOS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u w:val="singl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{{dos_fatos}}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/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/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  <w:r/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IV. DO DIREITO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Apesar de ser legalmente obrigada (arts. 227 e 229 da CRFB c/c arts. 4º e 22, do ECA, e arts. 1.566, IV, 1.568, 1.579 e 1.696, todos do CC), a parte requerida não vem contribuindo para o suste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  <w:rtl w:val="0"/>
        </w:rPr>
        <w:t>nto da sua prole, circunstância que compromete o desenvolvimento sadio e harmonioso desta em condiç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ões dignas de existência, direito assegurado pelo art. 7º do ECA.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Importante destacar que a doutrina distingue a obrigação de alimentar (decorrente do poder familiar) do dever de alimentar (decorrente do parentesco)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</w:rPr>
        <w:footnoteReference w:id="0"/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Enquanto a primeira traz consigo uma presunção de necessidade dos alimentos, o segundo exige a comprovação da necessidade de quem os pleiteia.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Consoante Cristiano Chaves de Farias e Nelson Rosenvald, considerando a obrigação alimentar uma consequência do poder familiar (da paternidade ou maternidade), “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”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</w:rPr>
        <w:footnoteReference w:id="1"/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 xml:space="preserve">Enquanto os filhos são menores, a presunção de necessidade é absoluta, ou seja,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juris et de jure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. Tanto é assim que, mesmo não requeridos alimentos provisórios, deve o juiz fixá-los (art. 4º da Lei n. 5.478/68 – Lei de Alimentos)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”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</w:rPr>
        <w:footnoteReference w:id="2"/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  <w:rtl w:val="0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  <w:rtl w:val="0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  <w:shd w:val="clear" w:fill="auto"/>
        </w:rPr>
      </w:pPr>
    </w:p>
    <w:p>
      <w:pPr>
        <w:shd w:val="clear" w:fill="auto"/>
        <w:spacing w:after="0" w:line="360" w:lineRule="auto"/>
        <w:ind w:left="0" w:firstLine="1321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É razoável, portanto, que a parte requerida contribua para a subsistência da parte autora com ao menos {{percentual_definitivo_salario_min}} do salário mínimo vigente (atuais R$ {{valor_provisorio_referencia}}), além de {{percentual_definitivo_extras}} dos gastos extraordinários com saúde, educação e vestuário, até o dia {{dia_pagamento}} de cada mês.</w:t>
      </w:r>
    </w:p>
    <w:p>
      <w:pPr>
        <w:shd w:val="clear" w:fill="auto"/>
        <w:spacing w:after="0" w:line="360" w:lineRule="auto"/>
        <w:ind w:left="0" w:firstLine="1321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V. DOS PEDIDOS</w:t>
      </w:r>
    </w:p>
    <w:p>
      <w:pPr>
        <w:tabs>
          <w:tab w:val="left" w:pos="426"/>
        </w:tabs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tabs>
          <w:tab w:val="left" w:pos="426"/>
        </w:tabs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Ante o exposto, requer:</w:t>
      </w:r>
    </w:p>
    <w:p>
      <w:pPr>
        <w:tabs>
          <w:tab w:val="left" w:pos="426"/>
        </w:tabs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o deferimento da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justiça gratuita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, bem como sejam observadas as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prerrogativas dos membros da Defensoria Pública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de intimação pessoal e prazo em dobro;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garantia de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prioridade de tramitação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do feito, recebendo os autos identificação própria;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1320" w:leftChars="0"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intimação do Ministério Público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para acompanhar todos os atos do processo;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t>liminarmente, o arbitramento de alimentos provisórios, no valor de {{percentual_provisorio_salario_min}} do salário mínimo vigente (atuais R$ {{valor_provisorio_referencia}}), além de {{percentual_despesas_extras}} dos gastos extraordinários com saúde, educação e vestuário, até o dia {{dia_pagamento}} de cada mês, a ser creditado no seguinte endereço bancário: {{dados_bancarios_requerente}};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right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o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envio de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ofíci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o ao INSS e à CEF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a fim de que estes informem sobre a existência de eventual vínculo empregatício ativo do alimentante, com fulcro no art. 529 do CPC;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red"/>
          <w:u w:val="none"/>
          <w:shd w:val="clear" w:fill="auto"/>
          <w:vertAlign w:val="baseline"/>
          <w:rtl w:val="0"/>
          <w:lang w:val="pt-BR"/>
        </w:rPr>
        <w:t>SE OUVER VINCULO EMPREGATÍCIO &gt;&gt;&gt;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o envio de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ofício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ao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ente empregador do(a) alimentante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[NOME DO ENTE, </w:t>
      </w:r>
      <w:r>
        <w:rPr>
          <w:rFonts w:hint="default" w:ascii="Times New Roman" w:hAnsi="Times New Roman" w:eastAsia="Times New Roman" w:cs="Times New Roman"/>
          <w:b w:val="0"/>
          <w:bCs/>
          <w:i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endereço profissional e eletrônico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]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a fim de que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os alimentos ora arbitrados passem a ser descontados diretamente em folha de pagamento,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>com fulcro no art. 529 do CPC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após tomadas as providências referentes à tutela provisória, que se proceda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citação da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parte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requerida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para comparecer à audiência de conciliação e mediação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nos termos do art. 319, VII, do CPC;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720" w:right="0" w:firstLine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t>ao final, no mérito, a condenação da parte requerida para pagar alimentos definitivos à parte requerente em valor não inferior a {{percentual_definitivo_salario_min}} do salário mínimo vigente, além de {{percentual_definitivo_extras}} dos gastos extraordinários com saúde, educação e vestuário, quantia essa que deverá ser paga até o dia {{dia_pagamento}} de cada mês, mediante depósito a ser efetuado na conta bancária supramencionada;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condenação da parte requerida nas custas processuais e nos honorários de sucumbência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sendo que estes últimos deverão ser revertidos em favor do Fundo de Assistência Judiciária da Defensoria Pública do Estado da Bahia – FAJDPE/BA, mediante pagamento diretamente no Banco do Brasil, Agência n° 3832-6, Conta n° 992831-6, chave PIX (e-mail) central.honorarios@defensoria.ba.def.br, favorecido DPE BB ARRECAD FAJDPE BA, CNPJ 07.778.585/0001-14;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por fim, a Defensoria Pública requer, desde já, seja determinada 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intimação pessoal da parte autora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sempre que qualquer ato processual depender de providência ou informação que somente por ela possa ser realizada ou prestada.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Protesta pela produção de todos os meios de prova admitidos em direito.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yellow"/>
          <w:shd w:val="clear" w:fill="auto"/>
        </w:rPr>
      </w:pPr>
      <w:bookmarkStart w:id="1" w:name="_GoBack"/>
      <w:bookmarkEnd w:id="1"/>
      <w:r>
        <w:t>Dá-se à causa o valor de R$ {{valor_causa}} ({{valor_causa_extenso}}).</w:t>
      </w: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Nestes termos, pede deferimento.</w:t>
      </w: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{{cidade_data_assinatura}}</w:t>
      </w: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tabs>
          <w:tab w:val="left" w:pos="0"/>
          <w:tab w:val="left" w:pos="880"/>
        </w:tabs>
        <w:spacing w:after="0" w:line="360" w:lineRule="auto"/>
        <w:ind w:firstLine="19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</w:pPr>
      <w:r>
        <w:t>{{defensoraNome}}</w:t>
      </w:r>
    </w:p>
    <w:p>
      <w:pPr>
        <w:tabs>
          <w:tab w:val="left" w:pos="0"/>
          <w:tab w:val="left" w:pos="880"/>
        </w:tabs>
        <w:spacing w:after="0" w:line="360" w:lineRule="auto"/>
        <w:ind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Defensora Pública do Estado da Bahia</w:t>
      </w:r>
    </w:p>
    <w:sectPr>
      <w:headerReference r:id="rId5" w:type="default"/>
      <w:footerReference r:id="rId6" w:type="default"/>
      <w:pgSz w:w="11906" w:h="16838"/>
      <w:pgMar w:top="1701" w:right="1134" w:bottom="1134" w:left="1701" w:header="709" w:footer="709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Lucida Sans">
    <w:altName w:val="Lucida Sans Unicod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252"/>
        <w:tab w:val="right" w:pos="8504"/>
      </w:tabs>
      <w:spacing w:after="0" w:line="240" w:lineRule="auto"/>
      <w:jc w:val="center"/>
      <w:rPr>
        <w:rFonts w:hint="default" w:ascii="Calibri" w:hAnsi="Calibri" w:eastAsia="Arial" w:cs="Calibri"/>
        <w:color w:val="000000"/>
        <w:sz w:val="20"/>
        <w:szCs w:val="20"/>
      </w:rPr>
    </w:pPr>
  </w:p>
  <w:p>
    <w:pPr>
      <w:spacing w:after="0" w:line="240" w:lineRule="auto"/>
      <w:jc w:val="center"/>
      <w:rPr>
        <w:rFonts w:hint="default" w:ascii="Calibri" w:hAnsi="Calibri" w:eastAsia="Arial" w:cs="Calibri"/>
        <w:sz w:val="20"/>
        <w:szCs w:val="20"/>
      </w:rPr>
    </w:pPr>
    <w:r>
      <w:rPr>
        <w:rFonts w:hint="default" w:ascii="Calibri" w:hAnsi="Calibri" w:eastAsia="Arial" w:cs="Calibri"/>
        <w:sz w:val="20"/>
        <w:szCs w:val="20"/>
        <w:rtl w:val="0"/>
      </w:rPr>
      <w:t>Rua Águas Claras, 523, Bairro Bela Vista, CEP 45990-280, Teixeira de Freitas/BA</w:t>
    </w:r>
  </w:p>
  <w:p>
    <w:pPr>
      <w:spacing w:after="0" w:line="240" w:lineRule="auto"/>
      <w:jc w:val="center"/>
      <w:rPr>
        <w:rFonts w:hint="default" w:ascii="Calibri" w:hAnsi="Calibri" w:eastAsia="Arial" w:cs="Calibri"/>
        <w:sz w:val="20"/>
        <w:szCs w:val="20"/>
      </w:rPr>
    </w:pPr>
    <w:r>
      <w:rPr>
        <w:rFonts w:hint="default" w:ascii="Calibri" w:hAnsi="Calibri" w:eastAsia="Arial" w:cs="Calibri"/>
        <w:sz w:val="20"/>
        <w:szCs w:val="20"/>
        <w:rtl w:val="0"/>
      </w:rPr>
      <w:t>Tel.: (73) 32</w:t>
    </w:r>
    <w:r>
      <w:rPr>
        <w:rFonts w:hint="default" w:ascii="Calibri" w:hAnsi="Calibri" w:eastAsia="Arial" w:cs="Calibri"/>
        <w:sz w:val="20"/>
        <w:szCs w:val="20"/>
        <w:rtl w:val="0"/>
        <w:lang w:val="pt-BR"/>
      </w:rPr>
      <w:t>92-1565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6">
    <w:p>
      <w:pPr>
        <w:spacing w:before="0" w:after="0" w:line="276" w:lineRule="auto"/>
      </w:pPr>
      <w:r>
        <w:separator/>
      </w:r>
    </w:p>
  </w:footnote>
  <w:footnote w:type="continuationSeparator" w:id="7">
    <w:p>
      <w:pPr>
        <w:spacing w:before="0" w:after="0" w:line="276" w:lineRule="auto"/>
      </w:pPr>
      <w:r>
        <w:continuationSeparator/>
      </w:r>
    </w:p>
  </w:footnote>
  <w:footnote w:id="0">
    <w:p>
      <w:pPr>
        <w:keepNext w:val="0"/>
        <w:keepLines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vertAlign w:val="superscript"/>
        </w:rPr>
        <w:footnoteRef/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FARIAS, Cristiano Chaves de; ROSENVALD, Nelson. Curso de Direito Civil: Famílias. V. 6. 4ª Edição. Salvador: JusPodivm, 2016, p. 724.</w:t>
      </w:r>
    </w:p>
  </w:footnote>
  <w:footnote w:id="1">
    <w:p>
      <w:pPr>
        <w:keepNext w:val="0"/>
        <w:keepLines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spacing w:before="6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vertAlign w:val="superscript"/>
        </w:rPr>
        <w:footnoteRef/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FARIAS, Cristiano Chaves de; ROSENVALD, Nelson. </w:t>
      </w:r>
      <w:r>
        <w:rPr>
          <w:rFonts w:ascii="Times New Roman" w:hAnsi="Times New Roman" w:eastAsia="Times New Roman" w:cs="Times New Roman"/>
          <w:b w:val="0"/>
          <w:i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Ibid.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, p. 724.</w:t>
      </w:r>
    </w:p>
  </w:footnote>
  <w:footnote w:id="2">
    <w:p>
      <w:pPr>
        <w:keepNext w:val="0"/>
        <w:keepLines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spacing w:before="6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vertAlign w:val="superscript"/>
        </w:rPr>
        <w:footnoteRef/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DIAS, Maria Berenice. Manual de Direito das Famílias. 14. ed. rev. ampl. e atual. – Salvador: Editora JusPodivm, 2021, p. 810.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center"/>
      <w:rPr>
        <w:rFonts w:hint="default" w:ascii="Calibri" w:hAnsi="Calibri" w:eastAsia="Arial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Fonts w:hint="default" w:ascii="Calibri" w:hAnsi="Calibri" w:eastAsia="Arial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  <w:drawing>
        <wp:inline distT="0" distB="0" distL="0" distR="0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center"/>
      <w:rPr>
        <w:rFonts w:hint="default" w:ascii="Calibri" w:hAnsi="Calibri" w:eastAsia="Arial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lowerLetter"/>
      <w:pStyle w:val="2"/>
      <w:lvlText w:val="%1)"/>
      <w:lvlJc w:val="left"/>
      <w:pPr>
        <w:ind w:left="360" w:hanging="360"/>
      </w:pPr>
      <w:rPr>
        <w:b/>
      </w:rPr>
    </w:lvl>
    <w:lvl w:ilvl="1" w:tentative="0">
      <w:start w:val="1"/>
      <w:numFmt w:val="lowerLetter"/>
      <w:lvlText w:val="%2."/>
      <w:lvlJc w:val="left"/>
      <w:pPr>
        <w:ind w:left="2148" w:hanging="360"/>
      </w:pPr>
    </w:lvl>
    <w:lvl w:ilvl="2" w:tentative="0">
      <w:start w:val="1"/>
      <w:numFmt w:val="lowerRoman"/>
      <w:lvlText w:val="%3."/>
      <w:lvlJc w:val="right"/>
      <w:pPr>
        <w:ind w:left="2868" w:hanging="180"/>
      </w:pPr>
    </w:lvl>
    <w:lvl w:ilvl="3" w:tentative="0">
      <w:start w:val="1"/>
      <w:numFmt w:val="decimal"/>
      <w:lvlText w:val="%4."/>
      <w:lvlJc w:val="left"/>
      <w:pPr>
        <w:ind w:left="3588" w:hanging="360"/>
      </w:pPr>
    </w:lvl>
    <w:lvl w:ilvl="4" w:tentative="0">
      <w:start w:val="1"/>
      <w:numFmt w:val="lowerLetter"/>
      <w:lvlText w:val="%5."/>
      <w:lvlJc w:val="left"/>
      <w:pPr>
        <w:ind w:left="4308" w:hanging="360"/>
      </w:pPr>
    </w:lvl>
    <w:lvl w:ilvl="5" w:tentative="0">
      <w:start w:val="1"/>
      <w:numFmt w:val="lowerRoman"/>
      <w:lvlText w:val="%6."/>
      <w:lvlJc w:val="right"/>
      <w:pPr>
        <w:ind w:left="5028" w:hanging="180"/>
      </w:pPr>
    </w:lvl>
    <w:lvl w:ilvl="6" w:tentative="0">
      <w:start w:val="1"/>
      <w:numFmt w:val="decimal"/>
      <w:lvlText w:val="%7."/>
      <w:lvlJc w:val="left"/>
      <w:pPr>
        <w:ind w:left="5748" w:hanging="360"/>
      </w:pPr>
    </w:lvl>
    <w:lvl w:ilvl="7" w:tentative="0">
      <w:start w:val="1"/>
      <w:numFmt w:val="lowerLetter"/>
      <w:lvlText w:val="%8."/>
      <w:lvlJc w:val="left"/>
      <w:pPr>
        <w:ind w:left="6468" w:hanging="360"/>
      </w:pPr>
    </w:lvl>
    <w:lvl w:ilvl="8" w:tentative="0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6"/>
    <w:footnote w:id="7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11495807"/>
    <w:rsid w:val="127667EF"/>
    <w:rsid w:val="176A427A"/>
    <w:rsid w:val="1AEA4BE9"/>
    <w:rsid w:val="1C8B77F5"/>
    <w:rsid w:val="1FF7333D"/>
    <w:rsid w:val="25835278"/>
    <w:rsid w:val="27646502"/>
    <w:rsid w:val="344F1ED9"/>
    <w:rsid w:val="359D05B6"/>
    <w:rsid w:val="374C4C14"/>
    <w:rsid w:val="43D621B4"/>
    <w:rsid w:val="446E6C24"/>
    <w:rsid w:val="475A64D6"/>
    <w:rsid w:val="4A9F5149"/>
    <w:rsid w:val="60B60A66"/>
    <w:rsid w:val="61AF10AD"/>
    <w:rsid w:val="66C94102"/>
    <w:rsid w:val="67C02619"/>
    <w:rsid w:val="6DA60772"/>
    <w:rsid w:val="70C67F53"/>
    <w:rsid w:val="74EB73A4"/>
    <w:rsid w:val="7BA344AB"/>
    <w:rsid w:val="7D9B1AC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name="heading 3"/>
    <w:lsdException w:qFormat="1" w:unhideWhenUsed="0" w:uiPriority="0" w:semiHidden="0" w:name="heading 4"/>
    <w:lsdException w:qFormat="1" w:uiPriority="9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iPriority="99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iPriority="99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  <w:lsdException w:qFormat="1" w:unhideWhenUsed="0" w:uiPriority="0" w:semiHidden="0" w:name="Quot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link w:val="33"/>
    <w:qFormat/>
    <w:uiPriority w:val="0"/>
    <w:pPr>
      <w:keepNext/>
      <w:numPr>
        <w:ilvl w:val="0"/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3">
    <w:name w:val="heading 2"/>
    <w:basedOn w:val="1"/>
    <w:next w:val="1"/>
    <w:link w:val="60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link w:val="57"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22"/>
    <w:rPr>
      <w:b/>
      <w:bCs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footnote reference"/>
    <w:qFormat/>
    <w:uiPriority w:val="0"/>
    <w:rPr>
      <w:vertAlign w:val="superscript"/>
    </w:rPr>
  </w:style>
  <w:style w:type="character" w:styleId="13">
    <w:name w:val="Hyperlink"/>
    <w:qFormat/>
    <w:uiPriority w:val="99"/>
    <w:rPr>
      <w:color w:val="0000FF"/>
      <w:u w:val="single"/>
    </w:rPr>
  </w:style>
  <w:style w:type="paragraph" w:styleId="14">
    <w:name w:val="Body Text"/>
    <w:basedOn w:val="1"/>
    <w:link w:val="39"/>
    <w:qFormat/>
    <w:uiPriority w:val="0"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5">
    <w:name w:val="Block Text"/>
    <w:basedOn w:val="1"/>
    <w:qFormat/>
    <w:uiPriority w:val="0"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16">
    <w:name w:val="Title"/>
    <w:basedOn w:val="1"/>
    <w:next w:val="1"/>
    <w:link w:val="54"/>
    <w:qFormat/>
    <w:uiPriority w:val="0"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17">
    <w:name w:val="Normal (Web)"/>
    <w:basedOn w:val="1"/>
    <w:qFormat/>
    <w:uiPriority w:val="99"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18">
    <w:name w:val="Body Text 3"/>
    <w:basedOn w:val="1"/>
    <w:link w:val="41"/>
    <w:qFormat/>
    <w:uiPriority w:val="0"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19">
    <w:name w:val="HTML Preformatted"/>
    <w:basedOn w:val="1"/>
    <w:link w:val="42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20">
    <w:name w:val="Body Text 2"/>
    <w:basedOn w:val="1"/>
    <w:link w:val="38"/>
    <w:qFormat/>
    <w:uiPriority w:val="0"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21">
    <w:name w:val="header"/>
    <w:basedOn w:val="1"/>
    <w:link w:val="30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22">
    <w:name w:val="footer"/>
    <w:basedOn w:val="1"/>
    <w:link w:val="31"/>
    <w:unhideWhenUsed/>
    <w:qFormat/>
    <w:uiPriority w:val="0"/>
    <w:pPr>
      <w:tabs>
        <w:tab w:val="center" w:pos="4252"/>
        <w:tab w:val="right" w:pos="8504"/>
      </w:tabs>
      <w:spacing w:after="0" w:line="240" w:lineRule="auto"/>
    </w:pPr>
  </w:style>
  <w:style w:type="paragraph" w:styleId="23">
    <w:name w:val="Body Text Indent 3"/>
    <w:basedOn w:val="1"/>
    <w:link w:val="37"/>
    <w:qFormat/>
    <w:uiPriority w:val="0"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24">
    <w:name w:val="Balloon Text"/>
    <w:basedOn w:val="1"/>
    <w:link w:val="32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25">
    <w:name w:val="Subtitle"/>
    <w:basedOn w:val="1"/>
    <w:next w:val="1"/>
    <w:qFormat/>
    <w:uiPriority w:val="0"/>
    <w:pPr>
      <w:keepNext/>
      <w:keepLines/>
      <w:pageBreakBefore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spacing w:before="360" w:after="80" w:line="276" w:lineRule="auto"/>
      <w:ind w:left="0" w:right="0" w:firstLine="0"/>
      <w:jc w:val="left"/>
    </w:pPr>
    <w:rPr>
      <w:rFonts w:ascii="Georgia" w:hAnsi="Georgia" w:eastAsia="Georgia" w:cs="Georgia"/>
      <w:i/>
      <w:color w:val="666666"/>
      <w:sz w:val="48"/>
      <w:szCs w:val="48"/>
      <w:u w:val="none"/>
      <w:shd w:val="clear" w:fill="auto"/>
      <w:vertAlign w:val="baseline"/>
    </w:rPr>
  </w:style>
  <w:style w:type="paragraph" w:styleId="26">
    <w:name w:val="footnote text"/>
    <w:basedOn w:val="1"/>
    <w:link w:val="4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27">
    <w:name w:val="List Bullet"/>
    <w:basedOn w:val="1"/>
    <w:unhideWhenUsed/>
    <w:qFormat/>
    <w:uiPriority w:val="99"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28">
    <w:name w:val="Body Text Indent"/>
    <w:basedOn w:val="1"/>
    <w:link w:val="36"/>
    <w:qFormat/>
    <w:uiPriority w:val="0"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customStyle="1" w:styleId="29">
    <w:name w:val="Table Normal"/>
    <w:qFormat/>
    <w:uiPriority w:val="0"/>
  </w:style>
  <w:style w:type="character" w:customStyle="1" w:styleId="30">
    <w:name w:val="Cabeçalho Char"/>
    <w:basedOn w:val="8"/>
    <w:link w:val="21"/>
    <w:qFormat/>
    <w:uiPriority w:val="99"/>
  </w:style>
  <w:style w:type="character" w:customStyle="1" w:styleId="31">
    <w:name w:val="Rodapé Char"/>
    <w:basedOn w:val="8"/>
    <w:link w:val="22"/>
    <w:qFormat/>
    <w:uiPriority w:val="0"/>
  </w:style>
  <w:style w:type="character" w:customStyle="1" w:styleId="32">
    <w:name w:val="Texto de balão Char"/>
    <w:basedOn w:val="8"/>
    <w:link w:val="2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33">
    <w:name w:val="Título 1 Char"/>
    <w:basedOn w:val="8"/>
    <w:link w:val="2"/>
    <w:qFormat/>
    <w:uiPriority w:val="0"/>
    <w:rPr>
      <w:rFonts w:ascii="Arial" w:hAnsi="Arial" w:eastAsia="Times New Roman" w:cs="Times New Roman"/>
      <w:sz w:val="28"/>
      <w:szCs w:val="20"/>
      <w:lang w:eastAsia="pt-BR"/>
    </w:rPr>
  </w:style>
  <w:style w:type="paragraph" w:customStyle="1" w:styleId="34">
    <w:name w:val="WW-Normal (Web)"/>
    <w:basedOn w:val="1"/>
    <w:qFormat/>
    <w:uiPriority w:val="0"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customStyle="1" w:styleId="35">
    <w:name w:val="WW-Recuo de corpo de texto 3"/>
    <w:basedOn w:val="1"/>
    <w:qFormat/>
    <w:uiPriority w:val="0"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customStyle="1" w:styleId="36">
    <w:name w:val="Recuo de corpo de texto Char"/>
    <w:basedOn w:val="8"/>
    <w:link w:val="28"/>
    <w:qFormat/>
    <w:uiPriority w:val="0"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customStyle="1" w:styleId="37">
    <w:name w:val="Recuo de corpo de texto 3 Char"/>
    <w:basedOn w:val="8"/>
    <w:link w:val="23"/>
    <w:qFormat/>
    <w:uiPriority w:val="0"/>
    <w:rPr>
      <w:rFonts w:ascii="Arial" w:hAnsi="Arial" w:eastAsia="Times New Roman" w:cs="Times New Roman"/>
      <w:color w:val="000000"/>
      <w:sz w:val="28"/>
      <w:szCs w:val="20"/>
    </w:rPr>
  </w:style>
  <w:style w:type="character" w:customStyle="1" w:styleId="38">
    <w:name w:val="Corpo de texto 2 Char"/>
    <w:basedOn w:val="8"/>
    <w:link w:val="20"/>
    <w:qFormat/>
    <w:uiPriority w:val="0"/>
    <w:rPr>
      <w:rFonts w:ascii="Times New Roman" w:hAnsi="Times New Roman" w:eastAsia="Times New Roman" w:cs="Times New Roman"/>
      <w:b/>
      <w:sz w:val="28"/>
      <w:szCs w:val="20"/>
    </w:rPr>
  </w:style>
  <w:style w:type="character" w:customStyle="1" w:styleId="39">
    <w:name w:val="Corpo de texto Char"/>
    <w:basedOn w:val="8"/>
    <w:link w:val="14"/>
    <w:qFormat/>
    <w:uiPriority w:val="0"/>
    <w:rPr>
      <w:rFonts w:ascii="Times New Roman" w:hAnsi="Times New Roman" w:eastAsia="Times New Roman" w:cs="Times New Roman"/>
      <w:sz w:val="20"/>
      <w:szCs w:val="20"/>
    </w:rPr>
  </w:style>
  <w:style w:type="character" w:customStyle="1" w:styleId="40">
    <w:name w:val="Texto de nota de rodapé Char"/>
    <w:basedOn w:val="8"/>
    <w:link w:val="26"/>
    <w:qFormat/>
    <w:uiPriority w:val="0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customStyle="1" w:styleId="41">
    <w:name w:val="Corpo de texto 3 Char"/>
    <w:basedOn w:val="8"/>
    <w:link w:val="18"/>
    <w:qFormat/>
    <w:uiPriority w:val="0"/>
    <w:rPr>
      <w:rFonts w:ascii="Times New Roman" w:hAnsi="Times New Roman" w:eastAsia="Times New Roman" w:cs="Times New Roman"/>
      <w:sz w:val="16"/>
      <w:szCs w:val="16"/>
    </w:rPr>
  </w:style>
  <w:style w:type="character" w:customStyle="1" w:styleId="42">
    <w:name w:val="Pré-formatação HTML Char"/>
    <w:basedOn w:val="8"/>
    <w:link w:val="19"/>
    <w:qFormat/>
    <w:uiPriority w:val="0"/>
    <w:rPr>
      <w:rFonts w:ascii="Verdana" w:hAnsi="Verdana" w:eastAsia="Arial Unicode MS" w:cs="Arial Unicode MS"/>
      <w:sz w:val="20"/>
      <w:szCs w:val="20"/>
      <w:lang w:eastAsia="pt-BR"/>
    </w:rPr>
  </w:style>
  <w:style w:type="character" w:customStyle="1" w:styleId="43">
    <w:name w:val="highlightbrs1"/>
    <w:qFormat/>
    <w:uiPriority w:val="0"/>
    <w:rPr>
      <w:b/>
      <w:bCs/>
      <w:color w:val="FF0000"/>
    </w:rPr>
  </w:style>
  <w:style w:type="character" w:customStyle="1" w:styleId="44">
    <w:name w:val="Caracteres de Nota de Rodapé"/>
    <w:qFormat/>
    <w:uiPriority w:val="0"/>
    <w:rPr>
      <w:vertAlign w:val="superscript"/>
    </w:rPr>
  </w:style>
  <w:style w:type="character" w:customStyle="1" w:styleId="45">
    <w:name w:val="Caracteres de nota de rodapé"/>
    <w:qFormat/>
    <w:uiPriority w:val="0"/>
    <w:rPr>
      <w:vertAlign w:val="superscript"/>
    </w:rPr>
  </w:style>
  <w:style w:type="paragraph" w:styleId="46">
    <w:name w:val="List Paragraph"/>
    <w:basedOn w:val="1"/>
    <w:qFormat/>
    <w:uiPriority w:val="34"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customStyle="1" w:styleId="47">
    <w:name w:val="Parágrafo Normal"/>
    <w:basedOn w:val="1"/>
    <w:link w:val="48"/>
    <w:qFormat/>
    <w:uiPriority w:val="0"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customStyle="1" w:styleId="48">
    <w:name w:val="Parágrafo Normal Char"/>
    <w:link w:val="47"/>
    <w:qFormat/>
    <w:uiPriority w:val="0"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49">
    <w:name w:val="Quote"/>
    <w:basedOn w:val="1"/>
    <w:link w:val="50"/>
    <w:qFormat/>
    <w:uiPriority w:val="0"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customStyle="1" w:styleId="50">
    <w:name w:val="Citação Char"/>
    <w:basedOn w:val="8"/>
    <w:link w:val="49"/>
    <w:qFormat/>
    <w:uiPriority w:val="0"/>
    <w:rPr>
      <w:rFonts w:ascii="Arial" w:hAnsi="Arial" w:eastAsia="Times New Roman" w:cs="Times New Roman"/>
      <w:i/>
      <w:iCs/>
      <w:lang w:val="zh-CN" w:eastAsia="zh-CN"/>
    </w:rPr>
  </w:style>
  <w:style w:type="paragraph" w:customStyle="1" w:styleId="51">
    <w:name w:val="text1"/>
    <w:basedOn w:val="1"/>
    <w:qFormat/>
    <w:uiPriority w:val="0"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customStyle="1" w:styleId="52">
    <w:name w:val="label"/>
    <w:basedOn w:val="8"/>
    <w:qFormat/>
    <w:uiPriority w:val="0"/>
  </w:style>
  <w:style w:type="paragraph" w:customStyle="1" w:styleId="53">
    <w:name w:val="Recuo de corpo de texto 31"/>
    <w:basedOn w:val="1"/>
    <w:qFormat/>
    <w:uiPriority w:val="0"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customStyle="1" w:styleId="54">
    <w:name w:val="Título Char"/>
    <w:basedOn w:val="8"/>
    <w:link w:val="16"/>
    <w:qFormat/>
    <w:uiPriority w:val="0"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customStyle="1" w:styleId="55">
    <w:name w:val="Ref. de nota de rodapé2"/>
    <w:qFormat/>
    <w:uiPriority w:val="0"/>
    <w:rPr>
      <w:vertAlign w:val="superscript"/>
    </w:rPr>
  </w:style>
  <w:style w:type="character" w:customStyle="1" w:styleId="56">
    <w:name w:val="apple-converted-space"/>
    <w:basedOn w:val="8"/>
    <w:qFormat/>
    <w:uiPriority w:val="0"/>
  </w:style>
  <w:style w:type="character" w:customStyle="1" w:styleId="57">
    <w:name w:val="Título 5 Char"/>
    <w:basedOn w:val="8"/>
    <w:link w:val="6"/>
    <w:semiHidden/>
    <w:qFormat/>
    <w:uiPriority w:val="9"/>
    <w:rPr>
      <w:rFonts w:asciiTheme="majorHAnsi" w:hAnsiTheme="majorHAnsi" w:eastAsiaTheme="majorEastAsia" w:cstheme="majorBidi"/>
      <w:color w:val="376092" w:themeColor="accent1" w:themeShade="BF"/>
    </w:rPr>
  </w:style>
  <w:style w:type="paragraph" w:customStyle="1" w:styleId="58">
    <w:name w:val="Corpo de texto 21"/>
    <w:basedOn w:val="1"/>
    <w:qFormat/>
    <w:uiPriority w:val="0"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customStyle="1" w:styleId="59">
    <w:name w:val="_Style Cuzão"/>
    <w:basedOn w:val="28"/>
    <w:qFormat/>
    <w:uiPriority w:val="0"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customStyle="1" w:styleId="60">
    <w:name w:val="Título 2 Char"/>
    <w:basedOn w:val="8"/>
    <w:link w:val="3"/>
    <w:qFormat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customStyle="1" w:styleId="61">
    <w:name w:val="Recuo de corpo de texto 21"/>
    <w:basedOn w:val="1"/>
    <w:qFormat/>
    <w:uiPriority w:val="0"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customStyle="1" w:styleId="62">
    <w:name w:val="Standard"/>
    <w:qFormat/>
    <w:uiPriority w:val="0"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val="pt-BR" w:eastAsia="zh-CN" w:bidi="hi-IN"/>
    </w:rPr>
  </w:style>
  <w:style w:type="paragraph" w:customStyle="1" w:styleId="63">
    <w:name w:val="Padrão"/>
    <w:qFormat/>
    <w:uiPriority w:val="0"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val="pt-BR" w:eastAsia="zh-CN" w:bidi="hi-IN"/>
    </w:rPr>
  </w:style>
  <w:style w:type="paragraph" w:customStyle="1" w:styleId="64">
    <w:name w:val="Corpo de texto 32"/>
    <w:basedOn w:val="1"/>
    <w:qFormat/>
    <w:uiPriority w:val="0"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customStyle="1" w:styleId="65">
    <w:name w:val="artart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customStyle="1" w:styleId="66">
    <w:name w:val="Ref. de nota de rodapé1"/>
    <w:qFormat/>
    <w:uiPriority w:val="0"/>
    <w:rPr>
      <w:vertAlign w:val="superscript"/>
    </w:rPr>
  </w:style>
  <w:style w:type="character" w:customStyle="1" w:styleId="67">
    <w:name w:val="Ref. de nota de rodapé3"/>
    <w:qFormat/>
    <w:uiPriority w:val="0"/>
    <w:rPr>
      <w:vertAlign w:val="superscript"/>
    </w:rPr>
  </w:style>
  <w:style w:type="paragraph" w:customStyle="1" w:styleId="68">
    <w:name w:val="Texto de nota de rodapé1"/>
    <w:basedOn w:val="1"/>
    <w:qFormat/>
    <w:uiPriority w:val="0"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customStyle="1" w:styleId="69">
    <w:name w:val="Recuo de corpo de texto 22"/>
    <w:basedOn w:val="1"/>
    <w:qFormat/>
    <w:uiPriority w:val="0"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1218</Words>
  <Characters>6583</Characters>
  <TotalTime>4</TotalTime>
  <ScaleCrop>false</ScaleCrop>
  <LinksUpToDate>false</LinksUpToDate>
  <CharactersWithSpaces>7759</CharactersWithSpaces>
  <Application>WPS Office_11.2.0.11191_F1E327BC-269C-435d-A152-05C5408002CA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2020-04-16T20:54:00Z</dcterms:created>
  <dc:creator>Lais Lage dos Santos</dc:creator>
  <cp:lastModifiedBy>dpe</cp:lastModifiedBy>
  <dcterms:modified xsi:type="dcterms:W3CDTF">2025-10-24T18:25:14Z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