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38" w:before="238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AO JUÍZO DA {VARA} VARA DE FAMÍLIA DA COMARCA DE {CIDADEASSINATURA}/BA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="276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Processo nº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{processoOrigemNumero}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EXEQUENTE(S): 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{#lista_filhos}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{NOME}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, nascido(a) em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{nascimento}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{/lista_filhos}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,{termo_representacao}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, representado(a) por sua genitora,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{REPRESENTANTE_NOME}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 brasileira, solteira,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{representante_ocupacao}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 inscrita no RG sob o n.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{representante_rg}, {emissor_rg_exequente}, e no CPF sob o n. {representante_cpf}, filha de {nome_mae_representante} e {nome_pai_representante} ||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ENDEREÇO: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{requerente_endereco_residencial}, telefone: {requerente_telefone}, e-mail: {requerente_email}.</w:t>
      </w:r>
    </w:p>
    <w:p w:rsidR="00000000" w:rsidDel="00000000" w:rsidP="00000000" w:rsidRDefault="00000000" w:rsidRPr="00000000" w14:paraId="00000006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EXECUTADO(A):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cc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{REQUERIDO_NOME}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brasileiro, solteiro, {executado_ocupacao}, filho de {nome_mae_executado} e {nome_pai_executado}, RG: {rg_executado}, {emissor_rg_executado}, CPF: {executado_cpf} ||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ENDEREÇO: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{executado_endereco_residencial}, telefone: {executado_telefone} e e-mail: {executado_email}</w:t>
      </w:r>
    </w:p>
    <w:p w:rsidR="00000000" w:rsidDel="00000000" w:rsidP="00000000" w:rsidRDefault="00000000" w:rsidRPr="00000000" w14:paraId="00000007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before="6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por um de seus membros,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highlight w:val="white"/>
          <w:rtl w:val="0"/>
        </w:rPr>
        <w:t xml:space="preserve">constituído na forma do art. 128, XI, da Lei Complementar Federal nº 80/94, que deve ser intimada pessoalmente por meio do portal PJE, vem, perante Vossa Excelência,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ajuizar 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presente </w:t>
      </w:r>
    </w:p>
    <w:p w:rsidR="00000000" w:rsidDel="00000000" w:rsidP="00000000" w:rsidRDefault="00000000" w:rsidRPr="00000000" w14:paraId="00000009">
      <w:pPr>
        <w:spacing w:after="60" w:before="6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before="6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60" w:lineRule="auto"/>
        <w:ind w:left="0" w:firstLine="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EXECUÇÃO DE ALIMENTOS PROVISÓRIOS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pelo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color w:val="38761d"/>
          <w:sz w:val="24"/>
          <w:szCs w:val="24"/>
          <w:rtl w:val="0"/>
        </w:rPr>
        <w:t xml:space="preserve">RITO DA PENHORA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color w:val="ff0000"/>
          <w:sz w:val="24"/>
          <w:szCs w:val="24"/>
          <w:rtl w:val="0"/>
        </w:rPr>
        <w:t xml:space="preserve">E DA PRISÃO</w:t>
      </w:r>
      <w:r w:rsidDel="00000000" w:rsidR="00000000" w:rsidRPr="00000000">
        <w:rPr>
          <w:rFonts w:ascii="Garamond" w:cs="Garamond" w:eastAsia="Garamond" w:hAnsi="Garamond"/>
          <w:i w:val="1"/>
          <w:iCs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nos seguintes termos:</w:t>
      </w:r>
    </w:p>
    <w:p w:rsidR="00000000" w:rsidDel="00000000" w:rsidP="00000000" w:rsidRDefault="00000000" w:rsidRPr="00000000" w14:paraId="0000000C">
      <w:pPr>
        <w:spacing w:after="60" w:before="6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TÍTULO EXECUTIVO: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{tipo_decisao} proferida no processo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{processoOrigemNumero}, {varaOriginaria} Vara de Família de {cidadeOriginaria}.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OBRIGAÇÃO DE PAGAR: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{percentual_salario_minimo}%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do salário mínimo vigente, até dia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{dia_pagamento} de cada mês.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DADOS BANCÁRIOS: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{dados_bancarios_exequente}; da genitor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a do exequente.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INADIMPLÊNCIA: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{periodo_meses_ano}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DÉBITO PARA PENHORA </w:t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777777"/>
          <w:sz w:val="24"/>
          <w:szCs w:val="24"/>
          <w:rtl w:val="0"/>
        </w:rPr>
        <w:t xml:space="preserve">(parcelas antigas)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z w:val="24"/>
          <w:szCs w:val="24"/>
          <w:rtl w:val="0"/>
        </w:rPr>
        <w:t xml:space="preserve">{valor_debito_penhora}</w:t>
      </w:r>
      <w:r w:rsidDel="00000000" w:rsidR="00000000" w:rsidRPr="00000000">
        <w:rPr>
          <w:rFonts w:ascii="Garamond" w:cs="Garamond" w:eastAsia="Garamond" w:hAnsi="Garamond"/>
          <w:i w:val="0"/>
          <w:iCs w:val="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z w:val="24"/>
          <w:szCs w:val="24"/>
          <w:rtl w:val="0"/>
        </w:rPr>
        <w:t xml:space="preserve">{valor_debito_penhora_extenso}</w:t>
      </w:r>
      <w:r w:rsidDel="00000000" w:rsidR="00000000" w:rsidRPr="00000000">
        <w:rPr>
          <w:rFonts w:ascii="Garamond" w:cs="Garamond" w:eastAsia="Garamond" w:hAnsi="Garamond"/>
          <w:i w:val="0"/>
          <w:iCs w:val="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80" w:line="276" w:lineRule="auto"/>
        <w:ind w:left="720" w:firstLine="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color w:val="777777"/>
          <w:sz w:val="24"/>
          <w:szCs w:val="24"/>
          <w:rtl w:val="0"/>
        </w:rPr>
        <w:t xml:space="preserve">Fundamento: Art. 523 c/c art. 528, §8º, e art. 531, CPC.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DÉBITO PARA PRISÃO </w:t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777777"/>
          <w:sz w:val="24"/>
          <w:szCs w:val="24"/>
          <w:rtl w:val="0"/>
        </w:rPr>
        <w:t xml:space="preserve">(últimas 3 parcelas inadimplidas + vincendas)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z w:val="24"/>
          <w:szCs w:val="24"/>
          <w:rtl w:val="0"/>
        </w:rPr>
        <w:t xml:space="preserve">{valor_debito_prisao}</w:t>
      </w:r>
      <w:r w:rsidDel="00000000" w:rsidR="00000000" w:rsidRPr="00000000">
        <w:rPr>
          <w:rFonts w:ascii="Garamond" w:cs="Garamond" w:eastAsia="Garamond" w:hAnsi="Garamond"/>
          <w:i w:val="0"/>
          <w:iCs w:val="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z w:val="24"/>
          <w:szCs w:val="24"/>
          <w:rtl w:val="0"/>
        </w:rPr>
        <w:t xml:space="preserve">{valor_debito_prisao_extenso}</w:t>
      </w:r>
      <w:r w:rsidDel="00000000" w:rsidR="00000000" w:rsidRPr="00000000">
        <w:rPr>
          <w:rFonts w:ascii="Garamond" w:cs="Garamond" w:eastAsia="Garamond" w:hAnsi="Garamond"/>
          <w:i w:val="0"/>
          <w:iCs w:val="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80" w:line="276" w:lineRule="auto"/>
        <w:ind w:left="720" w:firstLine="0"/>
        <w:jc w:val="both"/>
        <w:rPr>
          <w:rFonts w:ascii="Garamond" w:cs="Garamond" w:eastAsia="Garamond" w:hAnsi="Garamond"/>
          <w:i w:val="0"/>
          <w:iCs w:val="0"/>
          <w:color w:val="777777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color w:val="777777"/>
          <w:sz w:val="24"/>
          <w:szCs w:val="24"/>
          <w:rtl w:val="0"/>
        </w:rPr>
        <w:t xml:space="preserve">Fundamento: Art. 5º, LXVII, da CRFB, c/c art. 528, §7º, CPC.</w:t>
      </w:r>
    </w:p>
    <w:p w:rsidR="00000000" w:rsidDel="00000000" w:rsidP="00000000" w:rsidRDefault="00000000" w:rsidRPr="00000000" w14:paraId="00000016">
      <w:pPr>
        <w:spacing w:after="80" w:before="80" w:line="276" w:lineRule="auto"/>
        <w:ind w:left="720" w:firstLine="0"/>
        <w:jc w:val="both"/>
        <w:rPr>
          <w:rFonts w:ascii="Garamond" w:cs="Garamond" w:eastAsia="Garamond" w:hAnsi="Garamond"/>
          <w:color w:val="77777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80" w:line="276" w:lineRule="auto"/>
        <w:ind w:left="720" w:firstLine="0"/>
        <w:jc w:val="both"/>
        <w:rPr>
          <w:rFonts w:ascii="Garamond" w:cs="Garamond" w:eastAsia="Garamond" w:hAnsi="Garamond"/>
          <w:color w:val="77777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FUNDAMENTAÇÃO: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80" w:line="276" w:lineRule="auto"/>
        <w:ind w:firstLine="720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O caso em tela se amolda ao procedimento de cumprimento de sentença que reconhece a exigibilidade da obrigação de prestar alimentos, o qual é regido pelo Código de Processo Civil, nos termos do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Art. 523 c/c art. 528, §8º, e art. 531, CPC.</w:t>
      </w:r>
    </w:p>
    <w:p w:rsidR="00000000" w:rsidDel="00000000" w:rsidP="00000000" w:rsidRDefault="00000000" w:rsidRPr="00000000" w14:paraId="0000001A">
      <w:pPr>
        <w:spacing w:after="80" w:before="80" w:line="276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80" w:line="276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PEDIDOS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Gratuidade 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 Justiça (art. 98 e seguintes do CPC);</w:t>
      </w:r>
    </w:p>
    <w:p w:rsidR="00000000" w:rsidDel="00000000" w:rsidP="00000000" w:rsidRDefault="00000000" w:rsidRPr="00000000" w14:paraId="0000001D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Rule="auto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i w:val="0"/>
                <w:iCs w:val="0"/>
                <w:color w:val="000000"/>
                <w:sz w:val="24"/>
                <w:szCs w:val="24"/>
                <w:rtl w:val="0"/>
              </w:rPr>
              <w:t xml:space="preserve">Quanto ao Rito da Penhora (R$ {valor_debito_penhora}):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Intimação 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executado para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PAGAR O DÉBITO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{valor_debito_penhora}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15 dias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sob pena de multa de 10% e honorários (art. 523, §1º, CPC);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Protesto e inclusão em cadastros de devedores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(art. 517 e art. 782, §3º, CPC);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Bloqueio via SISBAJUD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penhora de bens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(art. 523 e ss., CPC);</w:t>
      </w:r>
    </w:p>
    <w:p w:rsidR="00000000" w:rsidDel="00000000" w:rsidP="00000000" w:rsidRDefault="00000000" w:rsidRPr="00000000" w14:paraId="00000022">
      <w:pPr>
        <w:spacing w:after="60" w:before="60" w:lineRule="auto"/>
        <w:rPr>
          <w:rFonts w:ascii="Garamond" w:cs="Garamond" w:eastAsia="Garamond" w:hAnsi="Garamond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Rule="auto"/>
              <w:rPr>
                <w:rFonts w:ascii="Garamond" w:cs="Garamond" w:eastAsia="Garamond" w:hAnsi="Garamond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i w:val="0"/>
                <w:iCs w:val="0"/>
                <w:sz w:val="24"/>
                <w:szCs w:val="24"/>
                <w:shd w:fill="auto" w:val="clear"/>
                <w:rtl w:val="0"/>
              </w:rPr>
              <w:t xml:space="preserve">Quanto ao Rito da Prisão (R$ {valor_debito_prisao} + vincendas):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Intimação 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do executado para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PAGAR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{valor_debito_prisao}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+ vincendas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3 dias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ou provar que o fez, ou justificar, sob pena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PRISÃO CIVIL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(art. 528, §§3º ao 7º, CPC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</w:t>
      </w:r>
    </w:p>
    <w:p w:rsidR="00000000" w:rsidDel="00000000" w:rsidP="00000000" w:rsidRDefault="00000000" w:rsidRPr="00000000" w14:paraId="00000025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spacing w:after="0" w:before="0" w:lineRule="auto"/>
              <w:rPr>
                <w:rFonts w:ascii="Garamond" w:cs="Garamond" w:eastAsia="Garamond" w:hAnsi="Garamond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i w:val="0"/>
                <w:iCs w:val="0"/>
                <w:color w:val="333333"/>
                <w:sz w:val="24"/>
                <w:szCs w:val="24"/>
                <w:rtl w:val="0"/>
              </w:rPr>
              <w:t xml:space="preserve">Pedidos Comuns: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ao PREVJUD para averiguar vínculos empregatícios e/ou benefício previdenciário;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OFÍCIO DESCONTO EM FOLHA ({empregador_nome});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Medidas coercitivas (art. 139, IV, CPC): apreensão de passaporte, suspensão de CNH, cancelamento de cartões de crédito e proibição de participação em concurso/licitação pública;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Honorários sucumbenciais de 20% ao FAJ (BB, Ag. 3832-6, C.C. 992.831-6; PIX: central.honorarios@defensoria.ba.def.br);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Comunicação ao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Ministério Público </w:t>
      </w:r>
      <w:r w:rsidDel="00000000" w:rsidR="00000000" w:rsidRPr="00000000">
        <w:rPr>
          <w:rFonts w:ascii="Garamond" w:cs="Garamond" w:eastAsia="Garamond" w:hAnsi="Garamond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(art. 532, CPC) para apuração de crime de abandono material (art. 244, CP).</w:t>
      </w:r>
    </w:p>
    <w:p w:rsidR="00000000" w:rsidDel="00000000" w:rsidP="00000000" w:rsidRDefault="00000000" w:rsidRPr="00000000" w14:paraId="0000002C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before="80" w:line="276" w:lineRule="auto"/>
        <w:ind w:left="500" w:firstLine="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Valor da causa: </w:t>
      </w: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{valor_causa} ({valor_causa_extenso}).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80" w:line="276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{data_atual}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before="80" w:line="276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Pede Deferimento.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before="80" w:line="276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ASSINATURA DEFENSOR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before="80" w:line="276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i w:val="0"/>
          <w:iCs w:val="0"/>
          <w:color w:val="000000"/>
          <w:sz w:val="24"/>
          <w:szCs w:val="24"/>
          <w:rtl w:val="0"/>
        </w:rPr>
        <w:t xml:space="preserve">Defensor(a) Público(a)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before="60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-719933</wp:posOffset>
          </wp:positionH>
          <wp:positionV relativeFrom="paragraph">
            <wp:posOffset>-78031</wp:posOffset>
          </wp:positionV>
          <wp:extent cx="7560000" cy="818015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0000" cy="81801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44"/>
        <w:tab w:val="right" w:leader="none" w:pos="9689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spacing w:before="17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-737933</wp:posOffset>
          </wp:positionH>
          <wp:positionV relativeFrom="paragraph">
            <wp:posOffset>-551013</wp:posOffset>
          </wp:positionV>
          <wp:extent cx="7596000" cy="1240084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96000" cy="1240084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8">
    <w:pPr>
      <w:rPr>
        <w:shd w:fill="auto" w:val="clear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rPr>
        <w:shd w:fill="auto" w:val="clear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rPr>
        <w:shd w:fill="auto" w:val="clear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44"/>
        <w:tab w:val="right" w:leader="none" w:pos="9689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0"/>
      <w:numFmt w:val="bullet"/>
      <w:lvlText w:val=""/>
      <w:lvlJc w:val="left"/>
      <w:pPr>
        <w:ind w:left="0" w:firstLine="0"/>
      </w:pPr>
      <w:rPr/>
    </w:lvl>
    <w:lvl w:ilvl="2">
      <w:start w:val="0"/>
      <w:numFmt w:val="bullet"/>
      <w:lvlText w:val=""/>
      <w:lvlJc w:val="left"/>
      <w:pPr>
        <w:ind w:left="0" w:firstLine="0"/>
      </w:pPr>
      <w:rPr/>
    </w:lvl>
    <w:lvl w:ilvl="3">
      <w:start w:val="0"/>
      <w:numFmt w:val="bullet"/>
      <w:lvlText w:val=""/>
      <w:lvlJc w:val="left"/>
      <w:pPr>
        <w:ind w:left="0" w:firstLine="0"/>
      </w:pPr>
      <w:rPr/>
    </w:lvl>
    <w:lvl w:ilvl="4">
      <w:start w:val="0"/>
      <w:numFmt w:val="bullet"/>
      <w:lvlText w:val=""/>
      <w:lvlJc w:val="left"/>
      <w:pPr>
        <w:ind w:left="0" w:firstLine="0"/>
      </w:pPr>
      <w:rPr/>
    </w:lvl>
    <w:lvl w:ilvl="5">
      <w:start w:val="0"/>
      <w:numFmt w:val="bullet"/>
      <w:lvlText w:val=""/>
      <w:lvlJc w:val="left"/>
      <w:pPr>
        <w:ind w:left="0" w:firstLine="0"/>
      </w:pPr>
      <w:rPr/>
    </w:lvl>
    <w:lvl w:ilvl="6">
      <w:start w:val="0"/>
      <w:numFmt w:val="bullet"/>
      <w:lvlText w:val=""/>
      <w:lvlJc w:val="left"/>
      <w:pPr>
        <w:ind w:left="0" w:firstLine="0"/>
      </w:pPr>
      <w:rPr/>
    </w:lvl>
    <w:lvl w:ilvl="7">
      <w:start w:val="0"/>
      <w:numFmt w:val="bullet"/>
      <w:lvlText w:val=""/>
      <w:lvlJc w:val="left"/>
      <w:pPr>
        <w:ind w:left="0" w:firstLine="0"/>
      </w:pPr>
      <w:rPr/>
    </w:lvl>
    <w:lvl w:ilvl="8">
      <w:start w:val="0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0"/>
      <w:numFmt w:val="bullet"/>
      <w:lvlText w:val=""/>
      <w:lvlJc w:val="left"/>
      <w:pPr>
        <w:ind w:left="0" w:firstLine="0"/>
      </w:pPr>
      <w:rPr/>
    </w:lvl>
    <w:lvl w:ilvl="2">
      <w:start w:val="0"/>
      <w:numFmt w:val="bullet"/>
      <w:lvlText w:val=""/>
      <w:lvlJc w:val="left"/>
      <w:pPr>
        <w:ind w:left="0" w:firstLine="0"/>
      </w:pPr>
      <w:rPr/>
    </w:lvl>
    <w:lvl w:ilvl="3">
      <w:start w:val="0"/>
      <w:numFmt w:val="bullet"/>
      <w:lvlText w:val=""/>
      <w:lvlJc w:val="left"/>
      <w:pPr>
        <w:ind w:left="0" w:firstLine="0"/>
      </w:pPr>
      <w:rPr/>
    </w:lvl>
    <w:lvl w:ilvl="4">
      <w:start w:val="0"/>
      <w:numFmt w:val="bullet"/>
      <w:lvlText w:val=""/>
      <w:lvlJc w:val="left"/>
      <w:pPr>
        <w:ind w:left="0" w:firstLine="0"/>
      </w:pPr>
      <w:rPr/>
    </w:lvl>
    <w:lvl w:ilvl="5">
      <w:start w:val="0"/>
      <w:numFmt w:val="bullet"/>
      <w:lvlText w:val=""/>
      <w:lvlJc w:val="left"/>
      <w:pPr>
        <w:ind w:left="0" w:firstLine="0"/>
      </w:pPr>
      <w:rPr/>
    </w:lvl>
    <w:lvl w:ilvl="6">
      <w:start w:val="0"/>
      <w:numFmt w:val="bullet"/>
      <w:lvlText w:val=""/>
      <w:lvlJc w:val="left"/>
      <w:pPr>
        <w:ind w:left="0" w:firstLine="0"/>
      </w:pPr>
      <w:rPr/>
    </w:lvl>
    <w:lvl w:ilvl="7">
      <w:start w:val="0"/>
      <w:numFmt w:val="bullet"/>
      <w:lvlText w:val=""/>
      <w:lvlJc w:val="left"/>
      <w:pPr>
        <w:ind w:left="0" w:firstLine="0"/>
      </w:pPr>
      <w:rPr/>
    </w:lvl>
    <w:lvl w:ilvl="8">
      <w:start w:val="0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0"/>
      <w:numFmt w:val="bullet"/>
      <w:lvlText w:val=""/>
      <w:lvlJc w:val="left"/>
      <w:pPr>
        <w:ind w:left="0" w:firstLine="0"/>
      </w:pPr>
      <w:rPr/>
    </w:lvl>
    <w:lvl w:ilvl="2">
      <w:start w:val="0"/>
      <w:numFmt w:val="bullet"/>
      <w:lvlText w:val=""/>
      <w:lvlJc w:val="left"/>
      <w:pPr>
        <w:ind w:left="0" w:firstLine="0"/>
      </w:pPr>
      <w:rPr/>
    </w:lvl>
    <w:lvl w:ilvl="3">
      <w:start w:val="0"/>
      <w:numFmt w:val="bullet"/>
      <w:lvlText w:val=""/>
      <w:lvlJc w:val="left"/>
      <w:pPr>
        <w:ind w:left="0" w:firstLine="0"/>
      </w:pPr>
      <w:rPr/>
    </w:lvl>
    <w:lvl w:ilvl="4">
      <w:start w:val="0"/>
      <w:numFmt w:val="bullet"/>
      <w:lvlText w:val=""/>
      <w:lvlJc w:val="left"/>
      <w:pPr>
        <w:ind w:left="0" w:firstLine="0"/>
      </w:pPr>
      <w:rPr/>
    </w:lvl>
    <w:lvl w:ilvl="5">
      <w:start w:val="0"/>
      <w:numFmt w:val="bullet"/>
      <w:lvlText w:val=""/>
      <w:lvlJc w:val="left"/>
      <w:pPr>
        <w:ind w:left="0" w:firstLine="0"/>
      </w:pPr>
      <w:rPr/>
    </w:lvl>
    <w:lvl w:ilvl="6">
      <w:start w:val="0"/>
      <w:numFmt w:val="bullet"/>
      <w:lvlText w:val=""/>
      <w:lvlJc w:val="left"/>
      <w:pPr>
        <w:ind w:left="0" w:firstLine="0"/>
      </w:pPr>
      <w:rPr/>
    </w:lvl>
    <w:lvl w:ilvl="7">
      <w:start w:val="0"/>
      <w:numFmt w:val="bullet"/>
      <w:lvlText w:val=""/>
      <w:lvlJc w:val="left"/>
      <w:pPr>
        <w:ind w:left="0" w:firstLine="0"/>
      </w:pPr>
      <w:rPr/>
    </w:lvl>
    <w:lvl w:ilvl="8">
      <w:start w:val="0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eEAmY3IfwjPS9I8TfcStj8Nx4Q==">CgMxLjA4AHIhMXZXX09pcFZEZFI0OTNxZ0FlT2UwWTlkS1UzWFFvSnZs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