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customXml/itemProps3.xml" ContentType="application/vnd.openxmlformats-officedocument.customXml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240" w:before="240"/>
        <w:ind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AO JUÍZO DA </w:t>
      </w:r>
      <w:r>
        <w:rPr>
          <w:rFonts w:ascii="Arial" w:hAnsi="Arial" w:cs="Arial"/>
          <w:b/>
          <w:bCs/>
          <w:sz w:val="24"/>
          <w:szCs w:val="24"/>
        </w:rPr>
        <w:t xml:space="preserve">{VARA}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 VARA DE FAMÍLIA DA COMARCA DE </w:t>
      </w:r>
      <w:r>
        <w:rPr>
          <w:rFonts w:ascii="Arial" w:hAnsi="Arial" w:cs="Arial"/>
          <w:b/>
          <w:bCs/>
          <w:sz w:val="24"/>
          <w:szCs w:val="24"/>
        </w:rPr>
        <w:t xml:space="preserve">{</w:t>
      </w:r>
      <w:r>
        <w:rPr>
          <w:rFonts w:ascii="Arial" w:hAnsi="Arial" w:cs="Arial"/>
          <w:b/>
          <w:bCs/>
          <w:sz w:val="24"/>
          <w:szCs w:val="24"/>
        </w:rPr>
        <w:t xml:space="preserve">CIDADEASSINATURA</w:t>
      </w:r>
      <w:r>
        <w:rPr>
          <w:rFonts w:ascii="Arial" w:hAnsi="Arial" w:cs="Arial"/>
          <w:b/>
          <w:bCs/>
          <w:sz w:val="24"/>
          <w:szCs w:val="24"/>
        </w:rPr>
        <w:t xml:space="preserve">}</w:t>
      </w:r>
      <w:r>
        <w:rPr>
          <w:rFonts w:ascii="Arial" w:hAnsi="Arial" w:eastAsia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>
      <w:pPr>
        <w:pBdr/>
        <w:spacing w:after="153" w:afterAutospacing="0"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240" w:before="240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{#lista_filhos} 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{NOME}</w:t>
      </w:r>
      <w:r>
        <w:rPr>
          <w:rFonts w:ascii="Arial" w:hAnsi="Arial" w:eastAsia="Arial" w:cs="Arial"/>
          <w:sz w:val="24"/>
          <w:szCs w:val="24"/>
        </w:rPr>
        <w:t xml:space="preserve">, {nacionalidade}, nascido(a) em {nascimento}, inscrito(a) no CPF nº {cpf}, portador(a) do RG nº {rg}, {q</w:t>
      </w:r>
      <w:r>
        <w:rPr>
          <w:rFonts w:ascii="Arial" w:hAnsi="Arial" w:eastAsia="Arial" w:cs="Arial"/>
          <w:sz w:val="24"/>
          <w:szCs w:val="24"/>
        </w:rPr>
        <w:t xml:space="preserve">ualificacao_incapacidade} {separador}{/lista_filhos}, {termo_representacao} por 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{REPRESENTANTE_NOME}</w:t>
      </w:r>
      <w:r>
        <w:rPr>
          <w:rFonts w:ascii="Arial" w:hAnsi="Arial" w:eastAsia="Arial" w:cs="Arial"/>
          <w:sz w:val="24"/>
          <w:szCs w:val="24"/>
        </w:rPr>
        <w:t xml:space="preserve">, {representante_nacionalidade}, {representante_estado_civil}, {representante_ocupacao}, inscrito(a) no CPF sob o nº {representante_cpf}, portador(a) do RG </w:t>
      </w:r>
      <w:r>
        <w:rPr>
          <w:rFonts w:ascii="Arial" w:hAnsi="Arial" w:eastAsia="Arial" w:cs="Arial"/>
          <w:sz w:val="24"/>
          <w:szCs w:val="24"/>
        </w:rPr>
        <w:t xml:space="preserve">nº {representante_rg</w:t>
      </w:r>
      <w:r>
        <w:rPr>
          <w:rFonts w:ascii="Arial" w:hAnsi="Arial" w:cs="Arial"/>
          <w:sz w:val="24"/>
          <w:szCs w:val="24"/>
        </w:rPr>
        <w:t xml:space="preserve">}</w:t>
      </w:r>
      <w:r>
        <w:rPr>
          <w:rFonts w:ascii="Arial" w:hAnsi="Arial" w:cs="Arial"/>
          <w:sz w:val="24"/>
          <w:szCs w:val="24"/>
        </w:rPr>
        <w:t xml:space="preserve">, {</w:t>
      </w:r>
      <w:r>
        <w:rPr>
          <w:rFonts w:ascii="Arial" w:hAnsi="Arial" w:cs="Arial"/>
          <w:sz w:val="24"/>
          <w:szCs w:val="24"/>
        </w:rPr>
        <w:t xml:space="preserve">emissor_rg_exequente</w:t>
      </w:r>
      <w:r>
        <w:rPr>
          <w:rFonts w:ascii="Arial" w:hAnsi="Arial" w:cs="Arial"/>
          <w:sz w:val="24"/>
          <w:szCs w:val="24"/>
        </w:rPr>
        <w:t xml:space="preserve">},</w:t>
      </w:r>
      <w:r>
        <w:rPr>
          <w:rFonts w:ascii="Arial" w:hAnsi="Arial" w:eastAsia="Arial" w:cs="Arial"/>
          <w:sz w:val="24"/>
          <w:szCs w:val="24"/>
        </w:rPr>
        <w:t xml:space="preserve"> residente e domiciliado(a) à </w:t>
      </w:r>
      <w:r>
        <w:rPr>
          <w:rFonts w:ascii="Arial" w:hAnsi="Arial" w:cs="Arial"/>
          <w:sz w:val="24"/>
          <w:szCs w:val="24"/>
        </w:rPr>
        <w:t xml:space="preserve">{</w:t>
      </w:r>
      <w:r>
        <w:rPr>
          <w:rFonts w:ascii="Arial" w:hAnsi="Arial" w:cs="Arial"/>
          <w:sz w:val="24"/>
          <w:szCs w:val="24"/>
        </w:rPr>
        <w:t xml:space="preserve">requerente_endereco_residencial</w:t>
      </w:r>
      <w:r>
        <w:rPr>
          <w:rFonts w:ascii="Arial" w:hAnsi="Arial" w:cs="Arial"/>
          <w:sz w:val="24"/>
          <w:szCs w:val="24"/>
        </w:rPr>
        <w:t xml:space="preserve">}</w:t>
      </w:r>
      <w:r>
        <w:rPr>
          <w:rFonts w:ascii="Arial" w:hAnsi="Arial" w:eastAsia="Arial" w:cs="Arial"/>
          <w:sz w:val="24"/>
          <w:szCs w:val="24"/>
        </w:rPr>
        <w:t xml:space="preserve">, com endereço profissional em {requerente_endereco_residencial}, e-mail {requerente_email}, telefone {requerente_telefone}, vem, perante esse Juízo, assistido(a) pela 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DEFENSORIA PÚBLICA DO ESTADO DA BAHIA</w:t>
      </w:r>
      <w:r>
        <w:rPr>
          <w:rFonts w:ascii="Arial" w:hAnsi="Arial" w:eastAsia="Arial" w:cs="Arial"/>
          <w:sz w:val="24"/>
          <w:szCs w:val="24"/>
        </w:rPr>
        <w:t xml:space="preserve">, por um de seus membros que a esta subscreve, na forma do art. 134 da Constituição Federal, da Lei Complementar Federal nº 80/94 e da Lei Complementar Estadual nº 26/06, ajuizar a presente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1003"/>
        <w:suppressLineNumbers w:val="false"/>
        <w:pBdr/>
        <w:bidi w:val="false"/>
        <w:spacing w:after="160" w:afterAutospacing="0" w:before="0" w:beforeAutospacing="0" w:line="279" w:lineRule="auto"/>
        <w:ind w:right="0" w:left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AÇÃO DE FIXAÇÃO DE ALIMENTOS COM PEDIDO DE ALIMENTOS PROVISÓRIOS</w:t>
      </w:r>
      <w:r>
        <w:rPr>
          <w:rFonts w:ascii="Arial" w:hAnsi="Arial" w:eastAsia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240" w:before="240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em face de 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{REQUERIDO_NOME}</w:t>
      </w:r>
      <w:r>
        <w:rPr>
          <w:rFonts w:ascii="Arial" w:hAnsi="Arial" w:eastAsia="Arial" w:cs="Arial"/>
          <w:sz w:val="24"/>
          <w:szCs w:val="24"/>
        </w:rPr>
        <w:t xml:space="preserve">, {executado_nacionalidade}, {executado_estado_civil}, {executado_ocupacao}, inscrito no CPF sob n</w:t>
      </w:r>
      <w:r>
        <w:rPr>
          <w:rFonts w:ascii="Arial" w:hAnsi="Arial" w:eastAsia="Arial" w:cs="Arial"/>
          <w:sz w:val="24"/>
          <w:szCs w:val="24"/>
        </w:rPr>
        <w:t xml:space="preserve">º {executado_cpf}, </w:t>
      </w:r>
      <w:r>
        <w:rPr>
          <w:rFonts w:ascii="Arial" w:hAnsi="Arial" w:cs="Arial"/>
          <w:sz w:val="24"/>
          <w:szCs w:val="24"/>
        </w:rPr>
        <w:t xml:space="preserve">RG: </w:t>
      </w:r>
      <w:r>
        <w:rPr>
          <w:rFonts w:ascii="Arial" w:hAnsi="Arial" w:cs="Arial"/>
          <w:sz w:val="24"/>
          <w:szCs w:val="24"/>
        </w:rPr>
        <w:t xml:space="preserve">{</w:t>
      </w:r>
      <w:r>
        <w:rPr>
          <w:rFonts w:ascii="Arial" w:hAnsi="Arial" w:cs="Arial"/>
          <w:sz w:val="24"/>
          <w:szCs w:val="24"/>
          <w:lang w:val="pt-BR"/>
        </w:rPr>
        <w:t xml:space="preserve">rg_</w:t>
      </w:r>
      <w:r>
        <w:rPr>
          <w:rFonts w:ascii="Arial" w:hAnsi="Arial" w:cs="Arial"/>
          <w:sz w:val="24"/>
          <w:szCs w:val="24"/>
        </w:rPr>
        <w:t xml:space="preserve">executado</w:t>
      </w:r>
      <w:r>
        <w:rPr>
          <w:rFonts w:ascii="Arial" w:hAnsi="Arial" w:cs="Arial"/>
          <w:sz w:val="24"/>
          <w:szCs w:val="24"/>
        </w:rPr>
        <w:t xml:space="preserve">}</w:t>
      </w:r>
      <w:r>
        <w:rPr>
          <w:rFonts w:ascii="Arial" w:hAnsi="Arial" w:cs="Arial"/>
          <w:sz w:val="24"/>
          <w:szCs w:val="24"/>
        </w:rPr>
        <w:t xml:space="preserve">, {</w:t>
      </w:r>
      <w:r>
        <w:rPr>
          <w:rFonts w:ascii="Arial" w:hAnsi="Arial" w:cs="Arial"/>
          <w:sz w:val="24"/>
          <w:szCs w:val="24"/>
        </w:rPr>
        <w:t xml:space="preserve">emissor_rg_executado</w:t>
      </w:r>
      <w:r>
        <w:rPr>
          <w:rFonts w:ascii="Arial" w:hAnsi="Arial" w:cs="Arial"/>
          <w:sz w:val="24"/>
          <w:szCs w:val="24"/>
        </w:rPr>
        <w:t xml:space="preserve">},</w:t>
      </w:r>
      <w:r>
        <w:rPr>
          <w:rFonts w:ascii="Arial" w:hAnsi="Arial" w:eastAsia="Arial" w:cs="Arial"/>
          <w:sz w:val="24"/>
          <w:szCs w:val="24"/>
        </w:rPr>
        <w:t xml:space="preserve"> residente e domiciliado(a) à {executado_endereco_residencial}, com endereço profissional em {executado_endereco_profissional}, e-mail {executado_email}, telefone {executado_telefone}, pelos motivos de fato e de direito a seguir expostos: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1003"/>
        <w:suppressLineNumbers w:val="false"/>
        <w:pBdr/>
        <w:bidi w:val="false"/>
        <w:spacing w:after="160" w:afterAutospacing="0" w:before="0" w:beforeAutospacing="0" w:line="279" w:lineRule="auto"/>
        <w:ind w:right="0" w:left="0"/>
        <w:jc w:val="lef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</w:r>
      <w:r>
        <w:rPr>
          <w:rFonts w:ascii="Arial" w:hAnsi="Arial" w:eastAsia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>
      <w:pPr>
        <w:pStyle w:val="1003"/>
        <w:suppressLineNumbers w:val="false"/>
        <w:pBdr/>
        <w:bidi w:val="false"/>
        <w:spacing w:after="160" w:afterAutospacing="0" w:before="0" w:beforeAutospacing="0" w:line="279" w:lineRule="auto"/>
        <w:ind w:right="0" w:left="0"/>
        <w:jc w:val="lef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I – DAS PRERROGATIVAS INSTITUCIONAIS</w:t>
      </w:r>
      <w:r>
        <w:rPr>
          <w:rFonts w:ascii="Arial" w:hAnsi="Arial" w:eastAsia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>
      <w:pPr>
        <w:pBdr/>
        <w:spacing w:after="240" w:before="240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Inicialmente, ressalta-se que, por estar a parte requerente assistida pela Defensoria Pública do Estado da Bahia, é de direito a observância das prerrogat</w:t>
      </w:r>
      <w:r>
        <w:rPr>
          <w:rFonts w:ascii="Arial" w:hAnsi="Arial" w:eastAsia="Arial" w:cs="Arial"/>
          <w:sz w:val="24"/>
          <w:szCs w:val="24"/>
        </w:rPr>
        <w:t xml:space="preserve">ivas funcionais desta instituição, tais como a contagem em dobro dos prazos processuais e a intimação pessoal dos Defensores Públicos, sob pena de nulidade, nos termos do art. 128, I, da LC nº 80/94, art. 148, II, da LC Estadual nº 26/06 e art. 186 do CPC.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1003"/>
        <w:suppressLineNumbers w:val="false"/>
        <w:pBdr/>
        <w:bidi w:val="false"/>
        <w:spacing w:after="160" w:afterAutospacing="0" w:before="0" w:beforeAutospacing="0" w:line="279" w:lineRule="auto"/>
        <w:ind w:right="0" w:left="0"/>
        <w:jc w:val="left"/>
        <w:rPr>
          <w:rFonts w:ascii="Arial" w:hAnsi="Arial" w:cs="Arial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II – DA GRATUIDADE DE JUSTIÇA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after="240" w:before="240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A parte requerente não </w:t>
      </w:r>
      <w:r>
        <w:rPr>
          <w:rFonts w:ascii="Arial" w:hAnsi="Arial" w:eastAsia="Arial" w:cs="Arial"/>
          <w:sz w:val="24"/>
          <w:szCs w:val="24"/>
        </w:rPr>
        <w:t xml:space="preserve">possui condições de arcar com custas, despesas processuais e honorários advocatícios sem prejuízo do próprio sustento e de sua família, motivo pelo qual requer a concessão dos benefícios da gratuidade da justiça, nos termos dos arts. 98 e seguintes do CPC.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1003"/>
        <w:suppressLineNumbers w:val="false"/>
        <w:pBdr/>
        <w:bidi w:val="false"/>
        <w:spacing w:after="160" w:afterAutospacing="0" w:before="0" w:beforeAutospacing="0" w:line="279" w:lineRule="auto"/>
        <w:ind w:right="0" w:left="0"/>
        <w:jc w:val="lef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III – DOS FATOS</w:t>
      </w:r>
      <w:r>
        <w:rPr>
          <w:rFonts w:ascii="Arial" w:hAnsi="Arial" w:eastAsia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>
      <w:pPr>
        <w:pBdr/>
        <w:spacing w:after="240" w:before="240"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{dos_fatos}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1003"/>
        <w:suppressLineNumbers w:val="false"/>
        <w:pBdr/>
        <w:bidi w:val="false"/>
        <w:spacing w:after="160" w:afterAutospacing="0" w:before="0" w:beforeAutospacing="0" w:line="279" w:lineRule="auto"/>
        <w:ind w:right="0" w:left="0"/>
        <w:jc w:val="lef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IV – DO DIREITO</w:t>
      </w:r>
      <w:r>
        <w:rPr>
          <w:rFonts w:ascii="Arial" w:hAnsi="Arial" w:eastAsia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>
      <w:pPr>
        <w:pBdr/>
        <w:spacing w:after="240" w:before="240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A obrigação alimentar decorre do poder familiar e do dever de assistência entre parentes, estando prevista nos arts. 1.694 e seguintes do Código Civil, bem como nos arts. 227 da Constituição Federal e 22 do Estatuto da Criança e do Adolescente.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240" w:before="240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Tratando-se de filhos menores, a necessidade é presumida, sendo suficiente a demonstração do vínculo de parentesco. A fixação dos alimentos deve observar o binômio necessidade/possibilidade, nos termos do art. 1.694, §1º, do Código Civil.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240" w:before="240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A Lei nº 5.478/68 estabelece procedimento especial para a ação de alimentos, determinando, em seu art. 4º, a fixação de alimentos provisórios desde logo, quando presentes os elementos mínimos.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240" w:before="240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Diante disso, mostra-se razoável que a parte requerida contribua para o sustento da parte autora com o percentual de 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{percentual_salario_minimo}</w:t>
      </w:r>
      <w:r>
        <w:rPr>
          <w:rFonts w:ascii="Arial" w:hAnsi="Arial" w:eastAsia="Arial" w:cs="Arial"/>
          <w:sz w:val="24"/>
          <w:szCs w:val="24"/>
        </w:rPr>
        <w:t xml:space="preserve">% do salário mínimo vigente, além de participação nas despesas extraordinárias.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1003"/>
        <w:suppressLineNumbers w:val="false"/>
        <w:pBdr/>
        <w:bidi w:val="false"/>
        <w:spacing w:after="160" w:afterAutospacing="0" w:before="0" w:beforeAutospacing="0" w:line="279" w:lineRule="auto"/>
        <w:ind w:right="0" w:left="0"/>
        <w:jc w:val="lef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V – DOS PEDIDOS</w:t>
      </w:r>
      <w:r>
        <w:rPr>
          <w:rFonts w:ascii="Arial" w:hAnsi="Arial" w:eastAsia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>
      <w:pPr>
        <w:pBdr/>
        <w:spacing w:after="240" w:before="240"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Diante do exposto, requer: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240" w:before="240"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a)</w:t>
      </w:r>
      <w:r>
        <w:rPr>
          <w:rFonts w:ascii="Arial" w:hAnsi="Arial" w:eastAsia="Arial" w:cs="Arial"/>
          <w:sz w:val="24"/>
          <w:szCs w:val="24"/>
        </w:rPr>
        <w:t xml:space="preserve"> o deferimento da gratuidade da justiça, bem como a observância das prerrogativas institucionais da Defensoria Pública;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240" w:before="240"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b)</w:t>
      </w:r>
      <w:r>
        <w:rPr>
          <w:rFonts w:ascii="Arial" w:hAnsi="Arial" w:eastAsia="Arial" w:cs="Arial"/>
          <w:sz w:val="24"/>
          <w:szCs w:val="24"/>
        </w:rPr>
        <w:t xml:space="preserve"> a intimação do Ministério Público para acompanhar o feito;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240" w:before="240"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c)</w:t>
      </w:r>
      <w:r>
        <w:rPr>
          <w:rFonts w:ascii="Arial" w:hAnsi="Arial" w:eastAsia="Arial" w:cs="Arial"/>
          <w:sz w:val="24"/>
          <w:szCs w:val="24"/>
        </w:rPr>
        <w:t xml:space="preserve"> a fixação de alimentos provisórios, no valor correspondente a {percentual_salario_minimo}% do salário </w:t>
      </w:r>
      <w:r>
        <w:rPr>
          <w:rFonts w:ascii="Arial" w:hAnsi="Arial" w:eastAsia="Arial" w:cs="Arial"/>
          <w:sz w:val="24"/>
          <w:szCs w:val="24"/>
        </w:rPr>
        <w:t xml:space="preserve">mínimo vigente, equivalente atualmente a {valor_pensao}, além de 50% das despesas extraordinárias com saúde, educação e vestuário, a serem pagos até o dia 05 de cada mês, mediante depósito em conta bancária da parte requerente: {dados_bancarios_exequente};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240" w:before="240"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d)</w:t>
      </w:r>
      <w:r>
        <w:rPr>
          <w:rFonts w:ascii="Arial" w:hAnsi="Arial" w:eastAsia="Arial" w:cs="Arial"/>
          <w:sz w:val="24"/>
          <w:szCs w:val="24"/>
        </w:rPr>
        <w:t xml:space="preserve"> a 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intimação do requerido</w:t>
      </w:r>
      <w:r>
        <w:rPr>
          <w:rFonts w:ascii="Arial" w:hAnsi="Arial" w:eastAsia="Arial" w:cs="Arial"/>
          <w:sz w:val="24"/>
          <w:szCs w:val="24"/>
        </w:rPr>
        <w:t xml:space="preserve">, para ciência da decisão que fixar os alimentos provisórios, bem como sua 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citação</w:t>
      </w:r>
      <w:r>
        <w:rPr>
          <w:rFonts w:ascii="Arial" w:hAnsi="Arial" w:eastAsia="Arial" w:cs="Arial"/>
          <w:sz w:val="24"/>
          <w:szCs w:val="24"/>
        </w:rPr>
        <w:t xml:space="preserve">, notificando-o da audiência prevista no art. 5º da Lei nº 5.478/68, para, querendo, apresentar resposta, sob pena de revelia;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240" w:before="240"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240" w:before="240"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e)</w:t>
      </w:r>
      <w:r>
        <w:rPr>
          <w:rFonts w:ascii="Arial" w:hAnsi="Arial" w:eastAsia="Arial" w:cs="Arial"/>
          <w:sz w:val="24"/>
          <w:szCs w:val="24"/>
        </w:rPr>
        <w:t xml:space="preserve"> a realização de 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consulta ao sistema PREVJUD</w:t>
      </w:r>
      <w:r>
        <w:rPr>
          <w:rFonts w:ascii="Arial" w:hAnsi="Arial" w:eastAsia="Arial" w:cs="Arial"/>
          <w:sz w:val="24"/>
          <w:szCs w:val="24"/>
        </w:rPr>
        <w:t xml:space="preserve">, a fim de verificar eventual vínculo empregatício do requerido;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240" w:before="240"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f)</w:t>
      </w:r>
      <w:r>
        <w:rPr>
          <w:rFonts w:ascii="Arial" w:hAnsi="Arial" w:eastAsia="Arial" w:cs="Arial"/>
          <w:sz w:val="24"/>
          <w:szCs w:val="24"/>
        </w:rPr>
        <w:t xml:space="preserve"> cumulativamente, o envio de ofício ao INSS e à Caixa Econômica Federal, para que informem a existência de vínculo empregatício ativo;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240" w:before="240"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g)</w:t>
      </w:r>
      <w:r>
        <w:rPr>
          <w:rFonts w:ascii="Arial" w:hAnsi="Arial" w:eastAsia="Arial" w:cs="Arial"/>
          <w:sz w:val="24"/>
          <w:szCs w:val="24"/>
        </w:rPr>
        <w:t xml:space="preserve"> constatado vínculo empregatício, seja expedido ofício ao empregador para desconto em folha de pagamento, nos termos do art. 529 do CPC;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240" w:before="240"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h)</w:t>
      </w:r>
      <w:r>
        <w:rPr>
          <w:rFonts w:ascii="Arial" w:hAnsi="Arial" w:eastAsia="Arial" w:cs="Arial"/>
          <w:sz w:val="24"/>
          <w:szCs w:val="24"/>
        </w:rPr>
        <w:t xml:space="preserve"> ao final, a confirmação dos alimentos em caráter definitivo, em valor não inferior ao fixado provisoriamente;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240" w:before="240"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i)</w:t>
      </w:r>
      <w:r>
        <w:rPr>
          <w:rFonts w:ascii="Arial" w:hAnsi="Arial" w:eastAsia="Arial" w:cs="Arial"/>
          <w:sz w:val="24"/>
          <w:szCs w:val="24"/>
        </w:rPr>
        <w:t xml:space="preserve"> a condenação do requerido ao pagamento das custas processuais e honorários de sucumbência, estes revertidos ao Fundo de Assistência Judiciária da Defensoria Pública do Estado da Bahia;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240" w:before="240"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j)</w:t>
      </w:r>
      <w:r>
        <w:rPr>
          <w:rFonts w:ascii="Arial" w:hAnsi="Arial" w:eastAsia="Arial" w:cs="Arial"/>
          <w:sz w:val="24"/>
          <w:szCs w:val="24"/>
        </w:rPr>
        <w:t xml:space="preserve"> a intimação pessoal da parte autora sempre que necessária sua manifestação;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240" w:before="240"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Protesta por todos os meios de prova em direito admitidos.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240" w:before="240"/>
        <w:ind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Dá-se à causa o valor de {valor_debito} ({valor_debito_extenso}).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240" w:before="240"/>
        <w:ind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Nestes termos, pede deferimento.</w:t>
      </w:r>
      <w:r>
        <w:rPr>
          <w:rFonts w:ascii="Arial" w:hAnsi="Arial" w:eastAsia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>
      <w:pPr>
        <w:pBdr/>
        <w:spacing w:after="240" w:before="240"/>
        <w:ind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  <w:t xml:space="preserve">{</w:t>
      </w:r>
      <w:r>
        <w:rPr>
          <w:rFonts w:ascii="Arial" w:hAnsi="Arial" w:cs="Arial"/>
          <w:b/>
          <w:bCs/>
          <w:sz w:val="24"/>
          <w:szCs w:val="24"/>
        </w:rPr>
        <w:t xml:space="preserve">CIDADEASSINATURA</w:t>
      </w:r>
      <w:r>
        <w:rPr>
          <w:rFonts w:ascii="Arial" w:hAnsi="Arial" w:cs="Arial"/>
          <w:b/>
          <w:bCs/>
          <w:sz w:val="24"/>
          <w:szCs w:val="24"/>
        </w:rPr>
        <w:t xml:space="preserve">}</w:t>
      </w:r>
      <w:r>
        <w:rPr>
          <w:rFonts w:ascii="Arial" w:hAnsi="Arial" w:eastAsia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{</w:t>
      </w:r>
      <w:r>
        <w:rPr>
          <w:rFonts w:ascii="Arial" w:hAnsi="Arial" w:cs="Arial"/>
          <w:sz w:val="24"/>
          <w:szCs w:val="24"/>
        </w:rPr>
        <w:t xml:space="preserve">DATA_ATUAL</w:t>
      </w:r>
      <w:r>
        <w:rPr>
          <w:rFonts w:ascii="Arial" w:hAnsi="Arial" w:cs="Arial"/>
          <w:sz w:val="24"/>
          <w:szCs w:val="24"/>
        </w:rPr>
        <w:t xml:space="preserve">}</w:t>
      </w:r>
      <w:r>
        <w:rPr>
          <w:rFonts w:ascii="Arial" w:hAnsi="Arial" w:eastAsia="Arial" w:cs="Arial"/>
          <w:sz w:val="24"/>
          <w:szCs w:val="24"/>
        </w:rPr>
        <w:t xml:space="preserve">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{</w:t>
      </w:r>
      <w:r>
        <w:rPr>
          <w:rFonts w:ascii="Arial" w:hAnsi="Arial" w:cs="Arial"/>
          <w:b/>
          <w:bCs/>
          <w:sz w:val="24"/>
          <w:szCs w:val="24"/>
        </w:rPr>
        <w:t xml:space="preserve">defensoraNome</w:t>
      </w:r>
      <w:r>
        <w:rPr>
          <w:rFonts w:ascii="Arial" w:hAnsi="Arial" w:cs="Arial"/>
          <w:b/>
          <w:bCs/>
          <w:sz w:val="24"/>
          <w:szCs w:val="24"/>
        </w:rPr>
        <w:t xml:space="preserve">}</w:t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>
      <w:pPr>
        <w:pBdr/>
        <w:spacing w:after="240" w:before="240"/>
        <w:ind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</w:r>
      <w:r>
        <w:rPr>
          <w:rFonts w:ascii="Arial" w:hAnsi="Arial" w:eastAsia="Arial" w:cs="Arial"/>
        </w:rPr>
        <w:br/>
      </w:r>
      <w:r>
        <w:rPr>
          <w:rFonts w:ascii="Arial" w:hAnsi="Arial" w:eastAsia="Arial" w:cs="Arial"/>
          <w:sz w:val="24"/>
          <w:szCs w:val="24"/>
        </w:rPr>
        <w:t xml:space="preserve"> Defensor(a) Pública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240" w:before="240"/>
        <w:ind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Defensoria Pública do Estado da Bahia</w:t>
      </w:r>
      <w:r>
        <w:rPr>
          <w:rFonts w:ascii="Arial" w:hAnsi="Arial" w:eastAsia="Arial" w:cs="Arial"/>
        </w:rPr>
        <w:br/>
      </w:r>
      <w:r>
        <w:rPr>
          <w:rFonts w:ascii="Arial" w:hAnsi="Arial" w:eastAsia="Arial" w:cs="Arial"/>
          <w:sz w:val="24"/>
          <w:szCs w:val="24"/>
        </w:rPr>
        <w:t xml:space="preserve"> [ENDEREÇO DA UNIDADE]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1003"/>
        <w:suppressLineNumbers w:val="false"/>
        <w:pBdr/>
        <w:bidi w:val="false"/>
        <w:spacing w:after="160" w:afterAutospacing="0" w:before="0" w:beforeAutospacing="0" w:line="279" w:lineRule="auto"/>
        <w:ind w:right="0" w:left="0"/>
        <w:jc w:val="lef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</w:r>
      <w:r>
        <w:rPr>
          <w:rFonts w:ascii="Arial" w:hAnsi="Arial" w:eastAsia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>
      <w:pPr>
        <w:pStyle w:val="1003"/>
        <w:suppressLineNumbers w:val="false"/>
        <w:pBdr/>
        <w:bidi w:val="false"/>
        <w:spacing w:after="160" w:afterAutospacing="0" w:before="0" w:beforeAutospacing="0" w:line="279" w:lineRule="auto"/>
        <w:ind w:right="0" w:left="0"/>
        <w:jc w:val="lef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</w:r>
      <w:r>
        <w:rPr>
          <w:rFonts w:ascii="Arial" w:hAnsi="Arial" w:eastAsia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>
      <w:pPr>
        <w:pStyle w:val="1003"/>
        <w:suppressLineNumbers w:val="false"/>
        <w:pBdr/>
        <w:bidi w:val="false"/>
        <w:spacing w:after="160" w:afterAutospacing="0" w:before="0" w:beforeAutospacing="0" w:line="279" w:lineRule="auto"/>
        <w:ind w:right="0" w:left="0"/>
        <w:jc w:val="lef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</w:r>
      <w:r>
        <w:rPr>
          <w:rFonts w:ascii="Arial" w:hAnsi="Arial" w:eastAsia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>
      <w:pPr>
        <w:pStyle w:val="1003"/>
        <w:suppressLineNumbers w:val="false"/>
        <w:pBdr/>
        <w:bidi w:val="false"/>
        <w:spacing w:after="160" w:afterAutospacing="0" w:before="0" w:beforeAutospacing="0" w:line="279" w:lineRule="auto"/>
        <w:ind w:right="0" w:left="0"/>
        <w:jc w:val="lef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</w:r>
      <w:r>
        <w:rPr>
          <w:rFonts w:ascii="Arial" w:hAnsi="Arial" w:eastAsia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>
      <w:pPr>
        <w:pStyle w:val="1003"/>
        <w:suppressLineNumbers w:val="false"/>
        <w:pBdr/>
        <w:bidi w:val="false"/>
        <w:spacing w:after="160" w:afterAutospacing="0" w:before="0" w:beforeAutospacing="0" w:line="279" w:lineRule="auto"/>
        <w:ind w:right="0" w:left="0"/>
        <w:jc w:val="lef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</w:r>
      <w:r>
        <w:rPr>
          <w:rFonts w:ascii="Arial" w:hAnsi="Arial" w:eastAsia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sectPr>
      <w:headerReference w:type="default" r:id="rId8"/>
      <w:footerReference w:type="default" r:id="rId9"/>
      <w:footnotePr/>
      <w:endnotePr/>
      <w:type w:val="nextPage"/>
      <w:pgSz w:h="16838" w:orient="portrait" w:w="11906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1006"/>
      <w:tblW w:w="0" w:type="auto"/>
      <w:tblBorders/>
      <w:tblLook w:val="06A0" w:firstRow="1" w:lastRow="0" w:firstColumn="1" w:lastColumn="0" w:noHBand="1" w:noVBand="1"/>
    </w:tblPr>
    <w:tblGrid>
      <w:gridCol w:w="3005"/>
      <w:gridCol w:w="3005"/>
      <w:gridCol w:w="3005"/>
    </w:tblGrid>
    <w:tr>
      <w:trPr>
        <w:trHeight w:val="300"/>
      </w:trPr>
      <w:tc>
        <w:tcPr>
          <w:tcBorders/>
          <w:tcW w:w="3005" w:type="dxa"/>
          <w:textDirection w:val="lrTb"/>
          <w:noWrap w:val="false"/>
        </w:tcPr>
        <w:p>
          <w:pPr>
            <w:pStyle w:val="1009"/>
            <w:pBdr/>
            <w:shd w:val="clear" w:color="auto" w:fill="auto"/>
            <w:bidi w:val="false"/>
            <w:spacing/>
            <w:ind w:left="-115"/>
            <w:jc w:val="left"/>
            <w:rPr>
              <w:color w:val="d9f2d0" w:themeColor="accent6" w:themeTint="33"/>
              <w:highlight w:val="none"/>
            </w:rPr>
          </w:pPr>
          <w:r>
            <w:rPr>
              <w:color w:val="d9f2d0" w:themeColor="accent6" w:themeTint="33"/>
              <w:highlight w:val="none"/>
            </w:rP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1" locked="0" layoutInCell="1" allowOverlap="1">
                    <wp:simplePos x="0" y="0"/>
                    <wp:positionH relativeFrom="column">
                      <wp:posOffset>-982825</wp:posOffset>
                    </wp:positionH>
                    <wp:positionV relativeFrom="paragraph">
                      <wp:posOffset>20910</wp:posOffset>
                    </wp:positionV>
                    <wp:extent cx="7560000" cy="968583"/>
                    <wp:effectExtent l="0" t="0" r="0" b="0"/>
                    <wp:wrapNone/>
                    <wp:docPr id="2" name="drawing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328741304" name="Picture 339061228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 rot="0" flipH="0" flipV="0">
                              <a:off x="0" y="0"/>
                              <a:ext cx="7560000" cy="968582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anchor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" o:spid="_x0000_s1" type="#_x0000_t75" style="position:absolute;z-index:-251658240;o:allowoverlap:true;o:allowincell:true;mso-position-horizontal-relative:text;margin-left:-77.39pt;mso-position-horizontal:absolute;mso-position-vertical-relative:text;margin-top:1.65pt;mso-position-vertical:absolute;width:595.28pt;height:76.27pt;mso-wrap-distance-left:9.00pt;mso-wrap-distance-top:0.00pt;mso-wrap-distance-right:9.00pt;mso-wrap-distance-bottom:0.00pt;rotation:0;z-index:1;" stroked="false">
                    <v:imagedata r:id="rId1" o:title=""/>
                    <o:lock v:ext="edit" rotation="t"/>
                  </v:shape>
                </w:pict>
              </mc:Fallback>
            </mc:AlternateContent>
          </w:r>
          <w:r>
            <w:rPr>
              <w:color w:val="d9f2d0" w:themeColor="accent6" w:themeTint="33"/>
              <w:highlight w:val="none"/>
            </w:rPr>
          </w:r>
        </w:p>
      </w:tc>
      <w:tc>
        <w:tcPr>
          <w:tcBorders/>
          <w:tcW w:w="3005" w:type="dxa"/>
          <w:textDirection w:val="lrTb"/>
          <w:noWrap w:val="false"/>
        </w:tcPr>
        <w:p>
          <w:pPr>
            <w:pStyle w:val="1009"/>
            <w:pBdr/>
            <w:shd w:val="clear" w:color="auto" w:fill="auto"/>
            <w:bidi w:val="false"/>
            <w:spacing/>
            <w:ind/>
            <w:jc w:val="center"/>
            <w:rPr>
              <w:color w:val="d9f2d0" w:themeColor="accent6" w:themeTint="33"/>
              <w:sz w:val="16"/>
              <w:szCs w:val="16"/>
              <w:highlight w:val="none"/>
            </w:rPr>
          </w:pPr>
          <w:r>
            <w:rPr>
              <w:color w:val="d9f2d0" w:themeColor="accent6" w:themeTint="33"/>
              <w:sz w:val="16"/>
              <w:szCs w:val="16"/>
              <w:highlight w:val="none"/>
            </w:rPr>
            <w:t xml:space="preserve">Endereço</w:t>
          </w:r>
          <w:r>
            <w:rPr>
              <w:color w:val="d9f2d0" w:themeColor="accent6" w:themeTint="33"/>
              <w:sz w:val="16"/>
              <w:szCs w:val="16"/>
              <w:highlight w:val="none"/>
            </w:rPr>
          </w:r>
          <w:r>
            <w:rPr>
              <w:color w:val="d9f2d0" w:themeColor="accent6" w:themeTint="33"/>
              <w:sz w:val="16"/>
              <w:szCs w:val="16"/>
              <w:highlight w:val="none"/>
            </w:rPr>
          </w:r>
        </w:p>
        <w:p>
          <w:pPr>
            <w:pStyle w:val="1009"/>
            <w:pBdr/>
            <w:shd w:val="clear" w:color="auto" w:fill="auto"/>
            <w:bidi w:val="false"/>
            <w:spacing/>
            <w:ind/>
            <w:jc w:val="center"/>
            <w:rPr>
              <w:color w:val="d9f2d0" w:themeColor="accent6" w:themeTint="33"/>
              <w:sz w:val="16"/>
              <w:szCs w:val="16"/>
              <w:highlight w:val="none"/>
            </w:rPr>
          </w:pPr>
          <w:r>
            <w:rPr>
              <w:color w:val="d9f2d0" w:themeColor="accent6" w:themeTint="33"/>
              <w:sz w:val="16"/>
              <w:szCs w:val="16"/>
              <w:highlight w:val="none"/>
            </w:rPr>
            <w:t xml:space="preserve">CAJ I- Rua Arquimedes Gonçalves, 271, Jardim Baiano, Salvador, Bahia</w:t>
          </w:r>
          <w:r>
            <w:rPr>
              <w:color w:val="d9f2d0" w:themeColor="accent6" w:themeTint="33"/>
              <w:sz w:val="16"/>
              <w:szCs w:val="16"/>
              <w:highlight w:val="none"/>
            </w:rPr>
          </w:r>
          <w:r>
            <w:rPr>
              <w:color w:val="d9f2d0" w:themeColor="accent6" w:themeTint="33"/>
              <w:sz w:val="16"/>
              <w:szCs w:val="16"/>
              <w:highlight w:val="none"/>
            </w:rPr>
          </w:r>
        </w:p>
      </w:tc>
      <w:tc>
        <w:tcPr>
          <w:tcBorders/>
          <w:tcW w:w="3005" w:type="dxa"/>
          <w:textDirection w:val="lrTb"/>
          <w:noWrap w:val="false"/>
        </w:tcPr>
        <w:p>
          <w:pPr>
            <w:pStyle w:val="1009"/>
            <w:pBdr/>
            <w:shd w:val="clear" w:color="auto" w:fill="auto"/>
            <w:bidi w:val="false"/>
            <w:spacing/>
            <w:ind w:right="-115"/>
            <w:jc w:val="right"/>
            <w:rPr>
              <w:color w:val="d9f2d0" w:themeColor="accent6" w:themeTint="33"/>
              <w:highlight w:val="none"/>
            </w:rPr>
          </w:pPr>
          <w:r>
            <w:rPr>
              <w:color w:val="d9f2d0" w:themeColor="accent6" w:themeTint="33"/>
              <w:highlight w:val="none"/>
            </w:rPr>
          </w:r>
          <w:r>
            <w:rPr>
              <w:color w:val="d9f2d0" w:themeColor="accent6" w:themeTint="33"/>
              <w:highlight w:val="none"/>
            </w:rPr>
          </w:r>
        </w:p>
      </w:tc>
    </w:tr>
  </w:tbl>
  <w:p>
    <w:pPr>
      <w:pStyle w:val="1010"/>
      <w:pBdr/>
      <w:shd w:val="clear" w:color="auto" w:fill="auto"/>
      <w:bidi w:val="false"/>
      <w:spacing/>
      <w:ind/>
      <w:rPr>
        <w:color w:val="d9f2d0" w:themeColor="accent6" w:themeTint="33"/>
        <w:highlight w:val="none"/>
      </w:rPr>
    </w:pPr>
    <w:r>
      <w:rPr>
        <w:color w:val="d9f2d0" w:themeColor="accent6" w:themeTint="33"/>
        <w:highlight w:val="none"/>
      </w:rPr>
    </w:r>
    <w:r>
      <w:rPr>
        <w:color w:val="d9f2d0" w:themeColor="accent6" w:themeTint="33"/>
        <w:highlight w:val="no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1006"/>
      <w:tblW w:w="0" w:type="auto"/>
      <w:tblBorders/>
      <w:tblLook w:val="06A0" w:firstRow="1" w:lastRow="0" w:firstColumn="1" w:lastColumn="0" w:noHBand="1" w:noVBand="1"/>
    </w:tblPr>
    <w:tblGrid>
      <w:gridCol w:w="3005"/>
      <w:gridCol w:w="3005"/>
      <w:gridCol w:w="3005"/>
    </w:tblGrid>
    <w:tr>
      <w:trPr>
        <w:trHeight w:val="300"/>
      </w:trPr>
      <w:tc>
        <w:tcPr>
          <w:tcBorders/>
          <w:tcW w:w="3005" w:type="dxa"/>
          <w:textDirection w:val="lrTb"/>
          <w:noWrap w:val="false"/>
        </w:tcPr>
        <w:p>
          <w:pPr>
            <w:pBdr/>
            <w:spacing w:after="125" w:afterAutospacing="0"/>
            <w:ind/>
            <w:rPr/>
          </w:pPr>
          <w: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1" locked="0" layoutInCell="1" allowOverlap="1">
                    <wp:simplePos x="0" y="0"/>
                    <wp:positionH relativeFrom="column">
                      <wp:posOffset>-1000825</wp:posOffset>
                    </wp:positionH>
                    <wp:positionV relativeFrom="paragraph">
                      <wp:posOffset>-592891</wp:posOffset>
                    </wp:positionV>
                    <wp:extent cx="7596000" cy="1550530"/>
                    <wp:effectExtent l="0" t="0" r="0" b="0"/>
                    <wp:wrapNone/>
                    <wp:docPr id="1" name="drawing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939213106" name="Picture 693740786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 rot="0" flipH="0" flipV="0">
                              <a:off x="0" y="0"/>
                              <a:ext cx="7596000" cy="1550529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anchor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position:absolute;z-index:-251658240;o:allowoverlap:true;o:allowincell:true;mso-position-horizontal-relative:text;margin-left:-78.81pt;mso-position-horizontal:absolute;mso-position-vertical-relative:text;margin-top:-46.68pt;mso-position-vertical:absolute;width:598.11pt;height:122.09pt;mso-wrap-distance-left:9.00pt;mso-wrap-distance-top:0.00pt;mso-wrap-distance-right:9.00pt;mso-wrap-distance-bottom:0.00pt;rotation:0;z-index:1;" stroked="false">
                    <v:imagedata r:id="rId1" o:title=""/>
                    <o:lock v:ext="edit" rotation="t"/>
                  </v:shape>
                </w:pict>
              </mc:Fallback>
            </mc:AlternateContent>
          </w:r>
          <w:r/>
        </w:p>
        <w:p>
          <w:pPr>
            <w:pBdr/>
            <w:spacing/>
            <w:ind/>
            <w:rPr/>
          </w:pPr>
          <w:r/>
          <w:r/>
        </w:p>
        <w:p>
          <w:pPr>
            <w:pStyle w:val="1009"/>
            <w:pBdr/>
            <w:bidi w:val="false"/>
            <w:spacing/>
            <w:ind w:left="-115"/>
            <w:jc w:val="left"/>
            <w:rPr/>
          </w:pPr>
          <w:r/>
          <w:r/>
        </w:p>
      </w:tc>
      <w:tc>
        <w:tcPr>
          <w:tcBorders/>
          <w:tcW w:w="3005" w:type="dxa"/>
          <w:textDirection w:val="lrTb"/>
          <w:noWrap w:val="false"/>
        </w:tcPr>
        <w:p>
          <w:pPr>
            <w:pStyle w:val="1009"/>
            <w:pBdr/>
            <w:bidi w:val="false"/>
            <w:spacing/>
            <w:ind/>
            <w:jc w:val="center"/>
            <w:rPr/>
          </w:pPr>
          <w:r/>
          <w:r/>
        </w:p>
      </w:tc>
      <w:tc>
        <w:tcPr>
          <w:tcBorders/>
          <w:tcW w:w="3005" w:type="dxa"/>
          <w:textDirection w:val="lrTb"/>
          <w:noWrap w:val="false"/>
        </w:tcPr>
        <w:p>
          <w:pPr>
            <w:pStyle w:val="1009"/>
            <w:pBdr/>
            <w:bidi w:val="false"/>
            <w:spacing/>
            <w:ind w:right="-115"/>
            <w:jc w:val="right"/>
            <w:rPr/>
          </w:pPr>
          <w:r/>
          <w:r/>
        </w:p>
      </w:tc>
    </w:tr>
  </w:tbl>
  <w:p>
    <w:pPr>
      <w:pStyle w:val="1009"/>
      <w:pBdr/>
      <w:bidi w:val="false"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21">
    <w:name w:val="Table Grid Light"/>
    <w:basedOn w:val="10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Plain Table 1"/>
    <w:basedOn w:val="10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Plain Table 2"/>
    <w:basedOn w:val="10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Plain Table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Plain Table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Plain Table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1 Light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1 Light 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1 Light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1 Light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1 Light 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1 Light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1 Light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2 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2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2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2 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2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2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3 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3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3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3 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3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3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4"/>
    <w:basedOn w:val="10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4 - Accent 1"/>
    <w:basedOn w:val="10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4 - Accent 2"/>
    <w:basedOn w:val="10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4 - Accent 3"/>
    <w:basedOn w:val="10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4 - Accent 4"/>
    <w:basedOn w:val="10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4 - Accent 5"/>
    <w:basedOn w:val="10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4 - Accent 6"/>
    <w:basedOn w:val="10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5 Dark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5 Dark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5 Dark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5 Dark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5 Dark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5 Dark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5 Dark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6 Colorful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6 Colorful 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6 Colorful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6 Colorful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6 Colorful 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6 Colorful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6 Colorful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7 Colorful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7 Colorful 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7 Colorful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7 Colorful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7 Colorful 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7 Colorful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7 Colorful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1 Light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1 Light 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1 Light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1 Light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1 Light 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1 Light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1 Light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2 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2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2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2 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2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2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3 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3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3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3 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3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3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4 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4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4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4 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4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4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5 Dark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5 Dark 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5 Dark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5 Dark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5 Dark 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5 Dark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5 Dark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6 Colorful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6 Colorful 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6 Colorful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6 Colorful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6 Colorful 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6 Colorful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6 Colorful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7 Colorful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7 Colorful 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7 Colorful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7 Colorful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7 Colorful 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7 Colorful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7 Colorful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ned - Accent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ned - Accent 1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ned - Accent 2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ned - Accent 3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ned - Accent 4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ned - Accent 5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ned - Accent 6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Bordered &amp; Lined - Accent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Bordered &amp; Lined - Accent 1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Bordered &amp; Lined - Accent 2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Bordered &amp; Lined - Accent 3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Bordered &amp; Lined - Accent 4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Bordered &amp; Lined - Accent 5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Bordered &amp; Lined - Accent 6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Bordered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Bordered 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Bordered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Bordered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Bordered 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Bordered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Bordered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6">
    <w:name w:val="Heading 1"/>
    <w:basedOn w:val="1003"/>
    <w:next w:val="1003"/>
    <w:link w:val="954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47">
    <w:name w:val="Heading 3"/>
    <w:basedOn w:val="1003"/>
    <w:next w:val="1003"/>
    <w:link w:val="956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48">
    <w:name w:val="Heading 4"/>
    <w:basedOn w:val="1003"/>
    <w:next w:val="1003"/>
    <w:link w:val="95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49">
    <w:name w:val="Heading 5"/>
    <w:basedOn w:val="1003"/>
    <w:next w:val="1003"/>
    <w:link w:val="958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50">
    <w:name w:val="Heading 6"/>
    <w:basedOn w:val="1003"/>
    <w:next w:val="1003"/>
    <w:link w:val="95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51">
    <w:name w:val="Heading 7"/>
    <w:basedOn w:val="1003"/>
    <w:next w:val="1003"/>
    <w:link w:val="96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52">
    <w:name w:val="Heading 8"/>
    <w:basedOn w:val="1003"/>
    <w:next w:val="1003"/>
    <w:link w:val="96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53">
    <w:name w:val="Heading 9"/>
    <w:basedOn w:val="1003"/>
    <w:next w:val="1003"/>
    <w:link w:val="96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54">
    <w:name w:val="Heading 1 Char"/>
    <w:basedOn w:val="1005"/>
    <w:link w:val="9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55">
    <w:name w:val="Heading 2 Char"/>
    <w:basedOn w:val="1005"/>
    <w:link w:val="10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56">
    <w:name w:val="Heading 3 Char"/>
    <w:basedOn w:val="1005"/>
    <w:link w:val="9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57">
    <w:name w:val="Heading 4 Char"/>
    <w:basedOn w:val="1005"/>
    <w:link w:val="94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58">
    <w:name w:val="Heading 5 Char"/>
    <w:basedOn w:val="1005"/>
    <w:link w:val="9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59">
    <w:name w:val="Heading 6 Char"/>
    <w:basedOn w:val="1005"/>
    <w:link w:val="95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60">
    <w:name w:val="Heading 7 Char"/>
    <w:basedOn w:val="1005"/>
    <w:link w:val="95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61">
    <w:name w:val="Heading 8 Char"/>
    <w:basedOn w:val="1005"/>
    <w:link w:val="95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62">
    <w:name w:val="Heading 9 Char"/>
    <w:basedOn w:val="1005"/>
    <w:link w:val="9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63">
    <w:name w:val="Title"/>
    <w:basedOn w:val="1003"/>
    <w:next w:val="1003"/>
    <w:link w:val="964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64">
    <w:name w:val="Title Char"/>
    <w:basedOn w:val="1005"/>
    <w:link w:val="96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65">
    <w:name w:val="Subtitle"/>
    <w:basedOn w:val="1003"/>
    <w:next w:val="1003"/>
    <w:link w:val="96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66">
    <w:name w:val="Subtitle Char"/>
    <w:basedOn w:val="1005"/>
    <w:link w:val="96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67">
    <w:name w:val="Quote"/>
    <w:basedOn w:val="1003"/>
    <w:next w:val="1003"/>
    <w:link w:val="96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68">
    <w:name w:val="Quote Char"/>
    <w:basedOn w:val="1005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69">
    <w:name w:val="List Paragraph"/>
    <w:basedOn w:val="1003"/>
    <w:uiPriority w:val="34"/>
    <w:qFormat/>
    <w:pPr>
      <w:pBdr/>
      <w:spacing/>
      <w:ind w:left="720"/>
      <w:contextualSpacing w:val="true"/>
    </w:pPr>
  </w:style>
  <w:style w:type="character" w:styleId="970">
    <w:name w:val="Intense Emphasis"/>
    <w:basedOn w:val="100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71">
    <w:name w:val="Intense Quote"/>
    <w:basedOn w:val="1003"/>
    <w:next w:val="1003"/>
    <w:link w:val="97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72">
    <w:name w:val="Intense Quote Char"/>
    <w:basedOn w:val="1005"/>
    <w:link w:val="97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73">
    <w:name w:val="Intense Reference"/>
    <w:basedOn w:val="100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74">
    <w:name w:val="No Spacing"/>
    <w:basedOn w:val="1003"/>
    <w:uiPriority w:val="1"/>
    <w:qFormat/>
    <w:pPr>
      <w:pBdr/>
      <w:spacing w:after="0" w:line="240" w:lineRule="auto"/>
      <w:ind/>
    </w:pPr>
  </w:style>
  <w:style w:type="character" w:styleId="975">
    <w:name w:val="Subtle Emphasis"/>
    <w:basedOn w:val="100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76">
    <w:name w:val="Emphasis"/>
    <w:basedOn w:val="1005"/>
    <w:uiPriority w:val="20"/>
    <w:qFormat/>
    <w:pPr>
      <w:pBdr/>
      <w:spacing/>
      <w:ind/>
    </w:pPr>
    <w:rPr>
      <w:i/>
      <w:iCs/>
    </w:rPr>
  </w:style>
  <w:style w:type="character" w:styleId="977">
    <w:name w:val="Strong"/>
    <w:basedOn w:val="1005"/>
    <w:uiPriority w:val="22"/>
    <w:qFormat/>
    <w:pPr>
      <w:pBdr/>
      <w:spacing/>
      <w:ind/>
    </w:pPr>
    <w:rPr>
      <w:b/>
      <w:bCs/>
    </w:rPr>
  </w:style>
  <w:style w:type="character" w:styleId="978">
    <w:name w:val="Subtle Reference"/>
    <w:basedOn w:val="100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79">
    <w:name w:val="Book Title"/>
    <w:basedOn w:val="100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80">
    <w:name w:val="Header Char"/>
    <w:basedOn w:val="1005"/>
    <w:link w:val="1009"/>
    <w:uiPriority w:val="99"/>
    <w:pPr>
      <w:pBdr/>
      <w:spacing/>
      <w:ind/>
    </w:pPr>
  </w:style>
  <w:style w:type="character" w:styleId="981">
    <w:name w:val="Footer Char"/>
    <w:basedOn w:val="1005"/>
    <w:link w:val="1010"/>
    <w:uiPriority w:val="99"/>
    <w:pPr>
      <w:pBdr/>
      <w:spacing/>
      <w:ind/>
    </w:pPr>
  </w:style>
  <w:style w:type="paragraph" w:styleId="982">
    <w:name w:val="Caption"/>
    <w:basedOn w:val="1003"/>
    <w:next w:val="100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83">
    <w:name w:val="footnote text"/>
    <w:basedOn w:val="1003"/>
    <w:link w:val="9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84">
    <w:name w:val="Footnote Text Char"/>
    <w:basedOn w:val="1005"/>
    <w:link w:val="983"/>
    <w:uiPriority w:val="99"/>
    <w:semiHidden/>
    <w:pPr>
      <w:pBdr/>
      <w:spacing/>
      <w:ind/>
    </w:pPr>
    <w:rPr>
      <w:sz w:val="20"/>
      <w:szCs w:val="20"/>
    </w:rPr>
  </w:style>
  <w:style w:type="character" w:styleId="985">
    <w:name w:val="footnote reference"/>
    <w:basedOn w:val="1005"/>
    <w:uiPriority w:val="99"/>
    <w:semiHidden/>
    <w:unhideWhenUsed/>
    <w:pPr>
      <w:pBdr/>
      <w:spacing/>
      <w:ind/>
    </w:pPr>
    <w:rPr>
      <w:vertAlign w:val="superscript"/>
    </w:rPr>
  </w:style>
  <w:style w:type="paragraph" w:styleId="986">
    <w:name w:val="endnote text"/>
    <w:basedOn w:val="1003"/>
    <w:link w:val="98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87">
    <w:name w:val="Endnote Text Char"/>
    <w:basedOn w:val="1005"/>
    <w:link w:val="986"/>
    <w:uiPriority w:val="99"/>
    <w:semiHidden/>
    <w:pPr>
      <w:pBdr/>
      <w:spacing/>
      <w:ind/>
    </w:pPr>
    <w:rPr>
      <w:sz w:val="20"/>
      <w:szCs w:val="20"/>
    </w:rPr>
  </w:style>
  <w:style w:type="character" w:styleId="988">
    <w:name w:val="endnote reference"/>
    <w:basedOn w:val="1005"/>
    <w:uiPriority w:val="99"/>
    <w:semiHidden/>
    <w:unhideWhenUsed/>
    <w:pPr>
      <w:pBdr/>
      <w:spacing/>
      <w:ind/>
    </w:pPr>
    <w:rPr>
      <w:vertAlign w:val="superscript"/>
    </w:rPr>
  </w:style>
  <w:style w:type="character" w:styleId="989">
    <w:name w:val="Hyperlink"/>
    <w:basedOn w:val="100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90">
    <w:name w:val="FollowedHyperlink"/>
    <w:basedOn w:val="100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91">
    <w:name w:val="toc 1"/>
    <w:basedOn w:val="1003"/>
    <w:next w:val="1003"/>
    <w:uiPriority w:val="39"/>
    <w:unhideWhenUsed/>
    <w:pPr>
      <w:pBdr/>
      <w:spacing w:after="100"/>
      <w:ind/>
    </w:pPr>
  </w:style>
  <w:style w:type="paragraph" w:styleId="992">
    <w:name w:val="toc 2"/>
    <w:basedOn w:val="1003"/>
    <w:next w:val="1003"/>
    <w:uiPriority w:val="39"/>
    <w:unhideWhenUsed/>
    <w:pPr>
      <w:pBdr/>
      <w:spacing w:after="100"/>
      <w:ind w:left="220"/>
    </w:pPr>
  </w:style>
  <w:style w:type="paragraph" w:styleId="993">
    <w:name w:val="toc 3"/>
    <w:basedOn w:val="1003"/>
    <w:next w:val="1003"/>
    <w:uiPriority w:val="39"/>
    <w:unhideWhenUsed/>
    <w:pPr>
      <w:pBdr/>
      <w:spacing w:after="100"/>
      <w:ind w:left="440"/>
    </w:pPr>
  </w:style>
  <w:style w:type="paragraph" w:styleId="994">
    <w:name w:val="toc 4"/>
    <w:basedOn w:val="1003"/>
    <w:next w:val="1003"/>
    <w:uiPriority w:val="39"/>
    <w:unhideWhenUsed/>
    <w:pPr>
      <w:pBdr/>
      <w:spacing w:after="100"/>
      <w:ind w:left="660"/>
    </w:pPr>
  </w:style>
  <w:style w:type="paragraph" w:styleId="995">
    <w:name w:val="toc 5"/>
    <w:basedOn w:val="1003"/>
    <w:next w:val="1003"/>
    <w:uiPriority w:val="39"/>
    <w:unhideWhenUsed/>
    <w:pPr>
      <w:pBdr/>
      <w:spacing w:after="100"/>
      <w:ind w:left="880"/>
    </w:pPr>
  </w:style>
  <w:style w:type="paragraph" w:styleId="996">
    <w:name w:val="toc 6"/>
    <w:basedOn w:val="1003"/>
    <w:next w:val="1003"/>
    <w:uiPriority w:val="39"/>
    <w:unhideWhenUsed/>
    <w:pPr>
      <w:pBdr/>
      <w:spacing w:after="100"/>
      <w:ind w:left="1100"/>
    </w:pPr>
  </w:style>
  <w:style w:type="paragraph" w:styleId="997">
    <w:name w:val="toc 7"/>
    <w:basedOn w:val="1003"/>
    <w:next w:val="1003"/>
    <w:uiPriority w:val="39"/>
    <w:unhideWhenUsed/>
    <w:pPr>
      <w:pBdr/>
      <w:spacing w:after="100"/>
      <w:ind w:left="1320"/>
    </w:pPr>
  </w:style>
  <w:style w:type="paragraph" w:styleId="998">
    <w:name w:val="toc 8"/>
    <w:basedOn w:val="1003"/>
    <w:next w:val="1003"/>
    <w:uiPriority w:val="39"/>
    <w:unhideWhenUsed/>
    <w:pPr>
      <w:pBdr/>
      <w:spacing w:after="100"/>
      <w:ind w:left="1540"/>
    </w:pPr>
  </w:style>
  <w:style w:type="paragraph" w:styleId="999">
    <w:name w:val="toc 9"/>
    <w:basedOn w:val="1003"/>
    <w:next w:val="1003"/>
    <w:uiPriority w:val="39"/>
    <w:unhideWhenUsed/>
    <w:pPr>
      <w:pBdr/>
      <w:spacing w:after="100"/>
      <w:ind w:left="1760"/>
    </w:pPr>
  </w:style>
  <w:style w:type="character" w:styleId="1000">
    <w:name w:val="Placeholder Text"/>
    <w:basedOn w:val="1005"/>
    <w:uiPriority w:val="99"/>
    <w:semiHidden/>
    <w:pPr>
      <w:pBdr/>
      <w:spacing/>
      <w:ind/>
    </w:pPr>
    <w:rPr>
      <w:color w:val="666666"/>
    </w:rPr>
  </w:style>
  <w:style w:type="paragraph" w:styleId="1001">
    <w:name w:val="TOC Heading"/>
    <w:uiPriority w:val="39"/>
    <w:unhideWhenUsed/>
    <w:pPr>
      <w:pBdr/>
      <w:spacing/>
      <w:ind/>
    </w:pPr>
  </w:style>
  <w:style w:type="paragraph" w:styleId="1002">
    <w:name w:val="table of figures"/>
    <w:basedOn w:val="1003"/>
    <w:next w:val="1003"/>
    <w:uiPriority w:val="99"/>
    <w:unhideWhenUsed/>
    <w:pPr>
      <w:pBdr/>
      <w:spacing w:after="0" w:afterAutospacing="0"/>
      <w:ind/>
    </w:pPr>
  </w:style>
  <w:style w:type="paragraph" w:styleId="1003" w:default="1">
    <w:name w:val="Normal"/>
    <w:qFormat/>
    <w:pPr>
      <w:pBdr/>
      <w:spacing/>
      <w:ind/>
    </w:pPr>
  </w:style>
  <w:style w:type="paragraph" w:styleId="1004">
    <w:name w:val="Heading 2"/>
    <w:basedOn w:val="1003"/>
    <w:next w:val="1003"/>
    <w:link w:val="10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1005" w:default="1">
    <w:name w:val="Default Paragraph Font"/>
    <w:uiPriority w:val="1"/>
    <w:semiHidden/>
    <w:unhideWhenUsed/>
    <w:pPr>
      <w:pBdr/>
      <w:spacing/>
      <w:ind/>
    </w:pPr>
  </w:style>
  <w:style w:type="table" w:styleId="100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07" w:default="1">
    <w:name w:val="No List"/>
    <w:uiPriority w:val="99"/>
    <w:semiHidden/>
    <w:unhideWhenUsed/>
    <w:pPr>
      <w:pBdr/>
      <w:spacing/>
      <w:ind/>
    </w:pPr>
  </w:style>
  <w:style w:type="character" w:styleId="1008" w:customStyle="1">
    <w:name w:val="Título 2 Char"/>
    <w:basedOn w:val="1005"/>
    <w:link w:val="1004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1009">
    <w:name w:val="Header"/>
    <w:basedOn w:val="100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paragraph" w:styleId="1010">
    <w:name w:val="Footer"/>
    <w:basedOn w:val="100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table" w:styleId="1011">
    <w:name w:val="Table Grid"/>
    <w:basedOn w:val="10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customXml" Target="../customXml/item2.xml" /><Relationship Id="rId12" Type="http://schemas.openxmlformats.org/officeDocument/2006/relationships/customXml" Target="../customXml/item3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086bfe7-90dc-4504-8316-bb34a5f7d5d0">
      <Terms xmlns="http://schemas.microsoft.com/office/infopath/2007/PartnerControls"/>
    </lcf76f155ced4ddcb4097134ff3c332f>
    <TaxCatchAll xmlns="3f2d7339-a150-40e2-a6ee-d00a691e262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272B12ED25B4643AE33F8162EF13A9E" ma:contentTypeVersion="10" ma:contentTypeDescription="Crie um novo documento." ma:contentTypeScope="" ma:versionID="e56b9ab1a3a88f22127f07f81d7453b2">
  <xsd:schema xmlns:xsd="http://www.w3.org/2001/XMLSchema" xmlns:xs="http://www.w3.org/2001/XMLSchema" xmlns:p="http://schemas.microsoft.com/office/2006/metadata/properties" xmlns:ns2="f086bfe7-90dc-4504-8316-bb34a5f7d5d0" xmlns:ns3="3f2d7339-a150-40e2-a6ee-d00a691e262a" targetNamespace="http://schemas.microsoft.com/office/2006/metadata/properties" ma:root="true" ma:fieldsID="3d9d27f4614dfec22dd18d8c78faf25e" ns2:_="" ns3:_="">
    <xsd:import namespace="f086bfe7-90dc-4504-8316-bb34a5f7d5d0"/>
    <xsd:import namespace="3f2d7339-a150-40e2-a6ee-d00a691e26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86bfe7-90dc-4504-8316-bb34a5f7d5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cbfc43f6-2648-40e8-8aaf-7f191b624b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2d7339-a150-40e2-a6ee-d00a691e262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15b1908-2be6-4f5f-b816-2049123a6a1b}" ma:internalName="TaxCatchAll" ma:showField="CatchAllData" ma:web="3f2d7339-a150-40e2-a6ee-d00a691e26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6AFEC3-B657-4924-961C-D34F061ED62B}">
  <ds:schemaRefs>
    <ds:schemaRef ds:uri="http://schemas.microsoft.com/office/2006/metadata/properties"/>
    <ds:schemaRef ds:uri="http://schemas.microsoft.com/office/infopath/2007/PartnerControls"/>
    <ds:schemaRef ds:uri="f086bfe7-90dc-4504-8316-bb34a5f7d5d0"/>
    <ds:schemaRef ds:uri="3f2d7339-a150-40e2-a6ee-d00a691e262a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{4B99A62A-63E7-4D09-A96D-65A598B821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86bfe7-90dc-4504-8316-bb34a5f7d5d0"/>
    <ds:schemaRef ds:uri="3f2d7339-a150-40e2-a6ee-d00a691e26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customXml/itemProps3.xml><?xml version="1.0" encoding="utf-8"?>
<ds:datastoreItem xmlns:ds="http://schemas.openxmlformats.org/officeDocument/2006/customXml" ds:itemID="{938C0D64-02C7-423B-932D-D764E24BA90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ONLYOFFICE/9.0.4.50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modified xsi:type="dcterms:W3CDTF">2026-04-16T18:29:43Z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0x0101002272B12ED25B4643AE33F8162EF13A9E</vt:lpwstr>
  </property>
  <property fmtid="{D5CDD505-2E9C-101B-9397-08002B2CF9AE}" pid="3" name="MediaServiceImageTags">
    <vt:lpwstr/>
  </property>
</Properties>
</file>