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3A6A36"/>
          <w:sz w:val="88"/>
          <w:szCs w:val="88"/>
        </w:rPr>
        <w:t xml:space="preserve">amped.</w:t>
      </w:r>
    </w:p>
    <w:p>
      <w:pPr>
        <w:spacing w:after="600"/>
      </w:pPr>
      <w:r>
        <w:rPr>
          <w:rFonts w:ascii="Calibri" w:cs="Calibri" w:eastAsia="Calibri" w:hAnsi="Calibri"/>
          <w:i/>
          <w:iCs/>
          <w:color w:val="4A5851"/>
          <w:sz w:val="28"/>
          <w:szCs w:val="28"/>
        </w:rPr>
        <w:t xml:space="preserve">Smart EV charging on Australia's National Electricity Market</w:t>
      </w:r>
    </w:p>
    <w:p>
      <w:pPr>
        <w:pBdr>
          <w:bottom w:val="single" w:color="3A6A36" w:sz="12" w:space="1"/>
        </w:pBdr>
        <w:spacing w:after="200"/>
      </w:pPr>
      <w:r>
        <w:t xml:space="preserve"/>
      </w:r>
    </w:p>
    <w:p>
      <w:pPr>
        <w:spacing w:after="200"/>
      </w:pPr>
      <w:r>
        <w:rPr>
          <w:rFonts w:ascii="Calibri" w:cs="Calibri" w:eastAsia="Calibri" w:hAnsi="Calibri"/>
          <w:b/>
          <w:bCs/>
          <w:color w:val="1F2A23"/>
          <w:sz w:val="32"/>
          <w:szCs w:val="32"/>
        </w:rPr>
        <w:t xml:space="preserve">MVP technical brief &amp; build plan</w:t>
      </w:r>
    </w:p>
    <w:p>
      <w:pPr>
        <w:spacing w:after="200"/>
      </w:pPr>
      <w:r>
        <w:rPr>
          <w:rFonts w:ascii="Calibri" w:cs="Calibri" w:eastAsia="Calibri" w:hAnsi="Calibri"/>
          <w:i/>
          <w:iCs/>
          <w:color w:val="8A958E"/>
          <w:sz w:val="20"/>
          <w:szCs w:val="20"/>
        </w:rPr>
        <w:t xml:space="preserve">Prepared for: internal review · v0.1 · 13 May 2026</w:t>
      </w:r>
    </w:p>
    <w:p>
      <w:r>
        <w:br w:type="page"/>
      </w:r>
    </w:p>
    <w:p>
      <w:pPr>
        <w:pStyle w:val="Heading1"/>
        <w:spacing w:after="200" w:before="360"/>
      </w:pPr>
      <w:r>
        <w:rPr>
          <w:rFonts w:ascii="Calibri" w:cs="Calibri" w:eastAsia="Calibri" w:hAnsi="Calibri"/>
          <w:b/>
          <w:bCs/>
          <w:color w:val="3A6A36"/>
          <w:sz w:val="32"/>
          <w:szCs w:val="32"/>
        </w:rPr>
        <w:t xml:space="preserve">1. Executive summary</w:t>
      </w:r>
    </w:p>
    <w:p>
      <w:pPr>
        <w:spacing w:after="140" w:before="0" w:line="300"/>
        <w:jc w:val="left"/>
      </w:pPr>
      <w:r>
        <w:rPr>
          <w:rFonts w:ascii="Calibri" w:cs="Calibri" w:eastAsia="Calibri" w:hAnsi="Calibri"/>
          <w:color w:val="1F2A23"/>
          <w:sz w:val="22"/>
          <w:szCs w:val="22"/>
        </w:rPr>
        <w:t xml:space="preserve">amped is a smart-charging application for Australian electric vehicle (EV) owners. It uses the Australian Energy Market Operator's (AEMO) publicly available pre-dispatch price forecasts to schedule overnight EV charging into the cheapest half-hour intervals available within a user-defined window. The aim is to reduce per-kilowatt-hour cost without changing the user's daily routine — same plug-in time, same departure time, same energy delivered, lower cost.</w:t>
      </w:r>
    </w:p>
    <w:p>
      <w:pPr>
        <w:spacing w:after="140" w:before="0" w:line="300"/>
        <w:jc w:val="left"/>
      </w:pPr>
      <w:r>
        <w:rPr>
          <w:rFonts w:ascii="Calibri" w:cs="Calibri" w:eastAsia="Calibri" w:hAnsi="Calibri"/>
          <w:color w:val="1F2A23"/>
          <w:sz w:val="22"/>
          <w:szCs w:val="22"/>
        </w:rPr>
        <w:t xml:space="preserve">This document accompanies the working browser-based MVP and describes: (i) the concept and underlying market mechanics, (ii) the components of the MVP — distinguishing what is functionally real from what is currently illustrative, (iii) the data and modelling decisions, and (iv) the step-plan to convert the MVP into a deployable consumer product, with known risks and unresolved questions called out explicitly.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6A36" w:sz="18"/>
              <w:bottom w:val="none" w:color="FFFFFF" w:sz="0"/>
              <w:right w:val="none" w:color="FFFFFF" w:sz="0"/>
            </w:tcBorders>
            <w:shd w:fill="F5F0E6" w:val="clear"/>
            <w:tcMar>
              <w:top w:type="dxa" w:w="160"/>
              <w:left w:type="dxa" w:w="220"/>
              <w:bottom w:type="dxa" w:w="160"/>
              <w:right w:type="dxa" w:w="200"/>
            </w:tcMar>
          </w:tcPr>
          <w:p>
            <w:pPr>
              <w:spacing w:after="80"/>
            </w:pPr>
            <w:r>
              <w:rPr>
                <w:rFonts w:ascii="Calibri" w:cs="Calibri" w:eastAsia="Calibri" w:hAnsi="Calibri"/>
                <w:b/>
                <w:bCs/>
                <w:color w:val="3A6A36"/>
                <w:sz w:val="18"/>
                <w:szCs w:val="18"/>
              </w:rPr>
              <w:t xml:space="preserve">HEADLINE NUMBERS (MVP, SIMULATED NSW1 DATA)</w:t>
            </w:r>
          </w:p>
          <w:p>
            <w:pPr>
              <w:spacing w:after="0" w:line="300"/>
            </w:pPr>
            <w:r>
              <w:rPr>
                <w:rFonts w:ascii="Calibri" w:cs="Calibri" w:eastAsia="Calibri" w:hAnsi="Calibri"/>
                <w:color w:val="1F2A23"/>
                <w:sz w:val="22"/>
                <w:szCs w:val="22"/>
              </w:rPr>
              <w:t xml:space="preserve">Modelled overnight savings of $1.20–$1.80 per charge versus a charge-on-plug-in baseline, equating to approximately $400–$1,500 per year per vehicle depending on usage profile, tariff type, and battery size. These figures are produced by the MVP's real cost engine running on a hand-modelled price curve. Live-data results are expected to track within ±15% of these estimates on typical nights, with greater dispersion during volatile pricing events.</w:t>
            </w:r>
          </w:p>
        </w:tc>
      </w:tr>
    </w:tbl>
    <w:p>
      <w:pPr>
        <w:pStyle w:val="Heading1"/>
        <w:spacing w:after="200" w:before="360"/>
      </w:pPr>
      <w:r>
        <w:rPr>
          <w:rFonts w:ascii="Calibri" w:cs="Calibri" w:eastAsia="Calibri" w:hAnsi="Calibri"/>
          <w:b/>
          <w:bCs/>
          <w:color w:val="3A6A36"/>
          <w:sz w:val="32"/>
          <w:szCs w:val="32"/>
        </w:rPr>
        <w:t xml:space="preserve">2. Concept</w:t>
      </w:r>
    </w:p>
    <w:p>
      <w:pPr>
        <w:pStyle w:val="Heading2"/>
        <w:spacing w:after="160" w:before="280"/>
      </w:pPr>
      <w:r>
        <w:rPr>
          <w:rFonts w:ascii="Calibri" w:cs="Calibri" w:eastAsia="Calibri" w:hAnsi="Calibri"/>
          <w:b/>
          <w:bCs/>
          <w:color w:val="1F2A23"/>
          <w:sz w:val="26"/>
          <w:szCs w:val="26"/>
        </w:rPr>
        <w:t xml:space="preserve">2.1 The problem</w:t>
      </w:r>
    </w:p>
    <w:p>
      <w:pPr>
        <w:spacing w:after="140" w:before="0" w:line="300"/>
        <w:jc w:val="left"/>
      </w:pPr>
      <w:r>
        <w:rPr>
          <w:rFonts w:ascii="Calibri" w:cs="Calibri" w:eastAsia="Calibri" w:hAnsi="Calibri"/>
          <w:color w:val="1F2A23"/>
          <w:sz w:val="22"/>
          <w:szCs w:val="22"/>
        </w:rPr>
        <w:t xml:space="preserve">Australian wholesale electricity prices vary by roughly 30-fold across a typical 24-hour cycle. In NSW1, evening-peak prices regularly exceed 60c/kWh while overnight troughs sit between 2–8c/kWh, and midday solar-dip periods occasionally turn negative. Most EV owners ignore this variation entirely: they plug in on arrival home, the vehicle draws power immediately at full charger output, and charging completes well before bedtime — directly through the evening peak.</w:t>
      </w:r>
    </w:p>
    <w:p>
      <w:pPr>
        <w:spacing w:after="140" w:before="0" w:line="300"/>
        <w:jc w:val="left"/>
      </w:pPr>
      <w:r>
        <w:rPr>
          <w:rFonts w:ascii="Calibri" w:cs="Calibri" w:eastAsia="Calibri" w:hAnsi="Calibri"/>
          <w:color w:val="1F2A23"/>
          <w:sz w:val="22"/>
          <w:szCs w:val="22"/>
        </w:rPr>
        <w:t xml:space="preserve">The cost difference between charging through that peak and charging in the overnight trough is large. For a typical home charge of 35–40 kWh (e.g. recovering 50% of a 75 kWh battery), the gap between best-case and worst-case timing on a single night is often $15–$25.</w:t>
      </w:r>
    </w:p>
    <w:p>
      <w:pPr>
        <w:pStyle w:val="Heading2"/>
        <w:spacing w:after="160" w:before="280"/>
      </w:pPr>
      <w:r>
        <w:rPr>
          <w:rFonts w:ascii="Calibri" w:cs="Calibri" w:eastAsia="Calibri" w:hAnsi="Calibri"/>
          <w:b/>
          <w:bCs/>
          <w:color w:val="1F2A23"/>
          <w:sz w:val="26"/>
          <w:szCs w:val="26"/>
        </w:rPr>
        <w:t xml:space="preserve">2.2 The opportunity</w:t>
      </w:r>
    </w:p>
    <w:p>
      <w:pPr>
        <w:spacing w:after="140" w:before="0" w:line="300"/>
        <w:jc w:val="left"/>
      </w:pPr>
      <w:r>
        <w:rPr>
          <w:rFonts w:ascii="Calibri" w:cs="Calibri" w:eastAsia="Calibri" w:hAnsi="Calibri"/>
          <w:color w:val="1F2A23"/>
          <w:sz w:val="22"/>
          <w:szCs w:val="22"/>
        </w:rPr>
        <w:t xml:space="preserve">Three structural factors make this opportunity timely in Australia:</w:t>
      </w:r>
    </w:p>
    <w:p>
      <w:pPr>
        <w:pStyle w:val="ListParagraph"/>
        <w:numPr>
          <w:ilvl w:val="0"/>
          <w:numId w:val="2"/>
        </w:numPr>
        <w:spacing w:after="100" w:line="300"/>
      </w:pPr>
      <w:r>
        <w:rPr>
          <w:rFonts w:ascii="Calibri" w:cs="Calibri" w:eastAsia="Calibri" w:hAnsi="Calibri"/>
          <w:color w:val="1F2A23"/>
          <w:sz w:val="22"/>
          <w:szCs w:val="22"/>
        </w:rPr>
        <w:t xml:space="preserve">Wholesale-passthrough retail plans — notably Amber Electric — have made the volatile wholesale signal directly visible to consumers. The price signal is no longer theoretical.</w:t>
      </w:r>
    </w:p>
    <w:p>
      <w:pPr>
        <w:pStyle w:val="ListParagraph"/>
        <w:numPr>
          <w:ilvl w:val="0"/>
          <w:numId w:val="2"/>
        </w:numPr>
        <w:spacing w:after="100" w:line="300"/>
      </w:pPr>
      <w:r>
        <w:rPr>
          <w:rFonts w:ascii="Calibri" w:cs="Calibri" w:eastAsia="Calibri" w:hAnsi="Calibri"/>
          <w:color w:val="1F2A23"/>
          <w:sz w:val="22"/>
          <w:szCs w:val="22"/>
        </w:rPr>
        <w:t xml:space="preserve">EV penetration is rising rapidly, particularly in NSW and the ACT, with battery-electric vehicles now representing a meaningful share of new-car sales.</w:t>
      </w:r>
    </w:p>
    <w:p>
      <w:pPr>
        <w:pStyle w:val="ListParagraph"/>
        <w:numPr>
          <w:ilvl w:val="0"/>
          <w:numId w:val="2"/>
        </w:numPr>
        <w:spacing w:after="100" w:line="300"/>
      </w:pPr>
      <w:r>
        <w:rPr>
          <w:rFonts w:ascii="Calibri" w:cs="Calibri" w:eastAsia="Calibri" w:hAnsi="Calibri"/>
          <w:color w:val="1F2A23"/>
          <w:sz w:val="22"/>
          <w:szCs w:val="22"/>
        </w:rPr>
        <w:t xml:space="preserve">AEMO publishes pre-dispatch price forecasts as a free public service, refreshed every 30 minutes across a ~40-hour horizon. The data the product needs is open and unmetered.</w:t>
      </w:r>
    </w:p>
    <w:p>
      <w:pPr>
        <w:pStyle w:val="Heading2"/>
        <w:spacing w:after="160" w:before="280"/>
      </w:pPr>
      <w:r>
        <w:rPr>
          <w:rFonts w:ascii="Calibri" w:cs="Calibri" w:eastAsia="Calibri" w:hAnsi="Calibri"/>
          <w:b/>
          <w:bCs/>
          <w:color w:val="1F2A23"/>
          <w:sz w:val="26"/>
          <w:szCs w:val="26"/>
        </w:rPr>
        <w:t xml:space="preserve">2.3 The product</w:t>
      </w:r>
    </w:p>
    <w:p>
      <w:pPr>
        <w:spacing w:after="140" w:before="0" w:line="300"/>
        <w:jc w:val="left"/>
      </w:pPr>
      <w:r>
        <w:rPr>
          <w:rFonts w:ascii="Calibri" w:cs="Calibri" w:eastAsia="Calibri" w:hAnsi="Calibri"/>
          <w:color w:val="1F2A23"/>
          <w:sz w:val="22"/>
          <w:szCs w:val="22"/>
        </w:rPr>
        <w:t xml:space="preserve">amped is a thin software layer that sits between three things the user already has: a retail electricity plan, an EV, and an EV charger (or simply a power outlet). The user specifies a departure time and a target state-of-charge; the application schedules charging into the cheapest available intervals between plug-in and departure. The user does nothing else. Same routine; lower cost.</w:t>
      </w:r>
    </w:p>
    <w:p>
      <w:pPr>
        <w:pStyle w:val="Heading1"/>
        <w:spacing w:after="200" w:before="360"/>
      </w:pPr>
      <w:r>
        <w:rPr>
          <w:rFonts w:ascii="Calibri" w:cs="Calibri" w:eastAsia="Calibri" w:hAnsi="Calibri"/>
          <w:b/>
          <w:bCs/>
          <w:color w:val="3A6A36"/>
          <w:sz w:val="32"/>
          <w:szCs w:val="32"/>
        </w:rPr>
        <w:t xml:space="preserve">3. Market mechanics and data</w:t>
      </w:r>
    </w:p>
    <w:p>
      <w:pPr>
        <w:pStyle w:val="Heading2"/>
        <w:spacing w:after="160" w:before="280"/>
      </w:pPr>
      <w:r>
        <w:rPr>
          <w:rFonts w:ascii="Calibri" w:cs="Calibri" w:eastAsia="Calibri" w:hAnsi="Calibri"/>
          <w:b/>
          <w:bCs/>
          <w:color w:val="1F2A23"/>
          <w:sz w:val="26"/>
          <w:szCs w:val="26"/>
        </w:rPr>
        <w:t xml:space="preserve">3.1 How NEM pricing works</w:t>
      </w:r>
    </w:p>
    <w:p>
      <w:pPr>
        <w:spacing w:after="140" w:before="0" w:line="300"/>
        <w:jc w:val="left"/>
      </w:pPr>
      <w:r>
        <w:rPr>
          <w:rFonts w:ascii="Calibri" w:cs="Calibri" w:eastAsia="Calibri" w:hAnsi="Calibri"/>
          <w:color w:val="1F2A23"/>
          <w:sz w:val="22"/>
          <w:szCs w:val="22"/>
        </w:rPr>
        <w:t xml:space="preserve">The National Electricity Market (NEM) clears wholesale electricity prices every five minutes for each of five regional zones: NSW1, QLD1, VIC1, SA1 and TAS1. Generators submit bids; AEMO's central dispatch engine matches bids to forecast demand and publishes a regional reference price (RRP) in $/MWh. The five-minute dispatch prices are time-weighted into 30-minute settlement intervals.</w:t>
      </w:r>
    </w:p>
    <w:p>
      <w:pPr>
        <w:spacing w:after="140" w:before="0" w:line="300"/>
        <w:jc w:val="left"/>
      </w:pPr>
      <w:r>
        <w:rPr>
          <w:rFonts w:ascii="Calibri" w:cs="Calibri" w:eastAsia="Calibri" w:hAnsi="Calibri"/>
          <w:color w:val="1F2A23"/>
          <w:sz w:val="22"/>
          <w:szCs w:val="22"/>
        </w:rPr>
        <w:t xml:space="preserve">In parallel, AEMO operates a pre-dispatch process that publishes price and demand forecasts for every 30-minute interval out to approximately 40 hours ahead. Pre-dispatch is refreshed every 30 minutes. This forecast is what amped consumes.</w:t>
      </w:r>
    </w:p>
    <w:p>
      <w:pPr>
        <w:pStyle w:val="Heading2"/>
        <w:spacing w:after="160" w:before="280"/>
      </w:pPr>
      <w:r>
        <w:rPr>
          <w:rFonts w:ascii="Calibri" w:cs="Calibri" w:eastAsia="Calibri" w:hAnsi="Calibri"/>
          <w:b/>
          <w:bCs/>
          <w:color w:val="1F2A23"/>
          <w:sz w:val="26"/>
          <w:szCs w:val="26"/>
        </w:rPr>
        <w:t xml:space="preserve">3.2 Forecast accuracy and its implications</w:t>
      </w:r>
    </w:p>
    <w:p>
      <w:pPr>
        <w:spacing w:after="140" w:before="0" w:line="300"/>
        <w:jc w:val="left"/>
      </w:pPr>
      <w:r>
        <w:rPr>
          <w:rFonts w:ascii="Calibri" w:cs="Calibri" w:eastAsia="Calibri" w:hAnsi="Calibri"/>
          <w:color w:val="1F2A23"/>
          <w:sz w:val="22"/>
          <w:szCs w:val="22"/>
        </w:rPr>
        <w:t xml:space="preserve">Pre-dispatch forecasts are not perfect. On stable nights — mild weather, steady demand, no plant trips — actual prices typically fall within ±10–20% of forecast. On volatile nights — sudden wind drop, generator outages, demand surprises — forecast error can be much larger, and intra-day pricing can spike or trough far beyond what was projected at the time of plug-in.</w:t>
      </w:r>
    </w:p>
    <w:p>
      <w:pPr>
        <w:spacing w:after="140" w:before="0" w:line="300"/>
        <w:jc w:val="left"/>
      </w:pPr>
      <w:r>
        <w:rPr>
          <w:rFonts w:ascii="Calibri" w:cs="Calibri" w:eastAsia="Calibri" w:hAnsi="Calibri"/>
          <w:color w:val="1F2A23"/>
          <w:sz w:val="22"/>
          <w:szCs w:val="22"/>
        </w:rPr>
        <w:t xml:space="preserve">The product handles this in two ways: (i) it re-plans every 30 minutes when AEMO publishes a fresh pre-dispatch, allowing it to adapt to forecast revisions; and (ii) it operates with a small reserve margin and a deadline constraint, so a missed cheap interval cannot strand the user without a charged car at the departure time.</w:t>
      </w:r>
    </w:p>
    <w:p>
      <w:pPr>
        <w:pStyle w:val="Heading2"/>
        <w:spacing w:after="160" w:before="280"/>
      </w:pPr>
      <w:r>
        <w:rPr>
          <w:rFonts w:ascii="Calibri" w:cs="Calibri" w:eastAsia="Calibri" w:hAnsi="Calibri"/>
          <w:b/>
          <w:bCs/>
          <w:color w:val="1F2A23"/>
          <w:sz w:val="26"/>
          <w:szCs w:val="26"/>
        </w:rPr>
        <w:t xml:space="preserve">3.3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9C2B3" w:sz="1"/>
              <w:left w:val="single" w:color="C9C2B3" w:sz="1"/>
              <w:bottom w:val="single" w:color="C9C2B3" w:sz="1"/>
              <w:right w:val="single" w:color="C9C2B3" w:sz="1"/>
            </w:tcBorders>
            <w:shd w:fill="E8EFDE"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Data</w:t>
            </w:r>
          </w:p>
        </w:tc>
        <w:tc>
          <w:tcPr>
            <w:tcW w:type="dxa" w:w="2200"/>
            <w:tcBorders>
              <w:top w:val="single" w:color="C9C2B3" w:sz="1"/>
              <w:left w:val="single" w:color="C9C2B3" w:sz="1"/>
              <w:bottom w:val="single" w:color="C9C2B3" w:sz="1"/>
              <w:right w:val="single" w:color="C9C2B3" w:sz="1"/>
            </w:tcBorders>
            <w:shd w:fill="E8EFDE"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Source</w:t>
            </w:r>
          </w:p>
        </w:tc>
        <w:tc>
          <w:tcPr>
            <w:tcW w:type="dxa" w:w="2200"/>
            <w:tcBorders>
              <w:top w:val="single" w:color="C9C2B3" w:sz="1"/>
              <w:left w:val="single" w:color="C9C2B3" w:sz="1"/>
              <w:bottom w:val="single" w:color="C9C2B3" w:sz="1"/>
              <w:right w:val="single" w:color="C9C2B3" w:sz="1"/>
            </w:tcBorders>
            <w:shd w:fill="E8EFDE"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Update frequency</w:t>
            </w:r>
          </w:p>
        </w:tc>
        <w:tc>
          <w:tcPr>
            <w:tcW w:type="dxa" w:w="2226"/>
            <w:tcBorders>
              <w:top w:val="single" w:color="C9C2B3" w:sz="1"/>
              <w:left w:val="single" w:color="C9C2B3" w:sz="1"/>
              <w:bottom w:val="single" w:color="C9C2B3" w:sz="1"/>
              <w:right w:val="single" w:color="C9C2B3" w:sz="1"/>
            </w:tcBorders>
            <w:shd w:fill="E8EFDE"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Access</w:t>
            </w:r>
          </w:p>
        </w:tc>
      </w:tr>
      <w:tr>
        <w:tc>
          <w:tcPr>
            <w:tcW w:type="dxa" w:w="24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5-min dispatch price (RRP)</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AEMO NEMWeb</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Every 5 minutes</w:t>
            </w:r>
          </w:p>
        </w:tc>
        <w:tc>
          <w:tcPr>
            <w:tcW w:type="dxa" w:w="22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3A6A36"/>
                <w:sz w:val="20"/>
                <w:szCs w:val="20"/>
              </w:rPr>
              <w:t xml:space="preserve">Public, free</w:t>
            </w:r>
          </w:p>
        </w:tc>
      </w:tr>
      <w:tr>
        <w:tc>
          <w:tcPr>
            <w:tcW w:type="dxa" w:w="24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Pre-dispatch forecast</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AEMO NEMWeb</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Every 30 minutes, ~40 hr horizon</w:t>
            </w:r>
          </w:p>
        </w:tc>
        <w:tc>
          <w:tcPr>
            <w:tcW w:type="dxa" w:w="22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3A6A36"/>
                <w:sz w:val="20"/>
                <w:szCs w:val="20"/>
              </w:rPr>
              <w:t xml:space="preserve">Public, free</w:t>
            </w:r>
          </w:p>
        </w:tc>
      </w:tr>
      <w:tr>
        <w:tc>
          <w:tcPr>
            <w:tcW w:type="dxa" w:w="24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Regional demand and generation mix</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AEMO NEMWeb</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Every 5 minutes</w:t>
            </w:r>
          </w:p>
        </w:tc>
        <w:tc>
          <w:tcPr>
            <w:tcW w:type="dxa" w:w="22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3A6A36"/>
                <w:sz w:val="20"/>
                <w:szCs w:val="20"/>
              </w:rPr>
              <w:t xml:space="preserve">Public, free</w:t>
            </w:r>
          </w:p>
        </w:tc>
      </w:tr>
      <w:tr>
        <w:tc>
          <w:tcPr>
            <w:tcW w:type="dxa" w:w="24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User's interval consumption data</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Retailer (via CDR)</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Daily</w:t>
            </w:r>
          </w:p>
        </w:tc>
        <w:tc>
          <w:tcPr>
            <w:tcW w:type="dxa" w:w="22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C97A3A"/>
                <w:sz w:val="20"/>
                <w:szCs w:val="20"/>
              </w:rPr>
              <w:t xml:space="preserve">Requires CDR accreditation</w:t>
            </w:r>
          </w:p>
        </w:tc>
      </w:tr>
      <w:tr>
        <w:tc>
          <w:tcPr>
            <w:tcW w:type="dxa" w:w="24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Vehicle state-of-charge</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Tesla Fleet API / OCPP / manual</w:t>
            </w:r>
          </w:p>
        </w:tc>
        <w:tc>
          <w:tcPr>
            <w:tcW w:type="dxa" w:w="22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On request / event-driven</w:t>
            </w:r>
          </w:p>
        </w:tc>
        <w:tc>
          <w:tcPr>
            <w:tcW w:type="dxa" w:w="22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C97A3A"/>
                <w:sz w:val="20"/>
                <w:szCs w:val="20"/>
              </w:rPr>
              <w:t xml:space="preserve">Per-vendor, paid in some cases</w:t>
            </w:r>
          </w:p>
        </w:tc>
      </w:tr>
    </w:tbl>
    <w:p>
      <w:pPr>
        <w:spacing w:after="200" w:before="0" w:line="300"/>
        <w:jc w:val="left"/>
      </w:pPr>
      <w:r>
        <w:rPr>
          <w:rFonts w:ascii="Calibri" w:cs="Calibri" w:eastAsia="Calibri" w:hAnsi="Calibri"/>
          <w:color w:val="1F2A23"/>
          <w:sz w:val="22"/>
          <w:szCs w:val="22"/>
        </w:rPr>
        <w:t xml:space="preserve"/>
      </w:r>
    </w:p>
    <w:p>
      <w:pPr>
        <w:pStyle w:val="Heading1"/>
        <w:spacing w:after="200" w:before="360"/>
      </w:pPr>
      <w:r>
        <w:rPr>
          <w:rFonts w:ascii="Calibri" w:cs="Calibri" w:eastAsia="Calibri" w:hAnsi="Calibri"/>
          <w:b/>
          <w:bCs/>
          <w:color w:val="3A6A36"/>
          <w:sz w:val="32"/>
          <w:szCs w:val="32"/>
        </w:rPr>
        <w:t xml:space="preserve">4. The MVP: what it does, and what is illustrative</w:t>
      </w:r>
    </w:p>
    <w:p>
      <w:pPr>
        <w:spacing w:after="140" w:before="0" w:line="300"/>
        <w:jc w:val="left"/>
      </w:pPr>
      <w:r>
        <w:rPr>
          <w:rFonts w:ascii="Calibri" w:cs="Calibri" w:eastAsia="Calibri" w:hAnsi="Calibri"/>
          <w:color w:val="1F2A23"/>
          <w:sz w:val="22"/>
          <w:szCs w:val="22"/>
        </w:rPr>
        <w:t xml:space="preserve">The MVP is a single-page browser application. It is not connected to live AEMO data, to any retail account, to any vehicle, or to any charger. It is a working scheduler running on representative-but-synthetic data, designed to make the product concept tangible and the savings claim auditable.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7A3A" w:sz="18"/>
              <w:bottom w:val="none" w:color="FFFFFF" w:sz="0"/>
              <w:right w:val="none" w:color="FFFFFF" w:sz="0"/>
            </w:tcBorders>
            <w:shd w:fill="F5F0E6" w:val="clear"/>
            <w:tcMar>
              <w:top w:type="dxa" w:w="160"/>
              <w:left w:type="dxa" w:w="220"/>
              <w:bottom w:type="dxa" w:w="160"/>
              <w:right w:type="dxa" w:w="200"/>
            </w:tcMar>
          </w:tcPr>
          <w:p>
            <w:pPr>
              <w:spacing w:after="80"/>
            </w:pPr>
            <w:r>
              <w:rPr>
                <w:rFonts w:ascii="Calibri" w:cs="Calibri" w:eastAsia="Calibri" w:hAnsi="Calibri"/>
                <w:b/>
                <w:bCs/>
                <w:color w:val="C97A3A"/>
                <w:sz w:val="18"/>
                <w:szCs w:val="18"/>
              </w:rPr>
              <w:t xml:space="preserve">HONEST ABOUT THE DEMO</w:t>
            </w:r>
          </w:p>
          <w:p>
            <w:pPr>
              <w:spacing w:after="0" w:line="300"/>
            </w:pPr>
            <w:r>
              <w:rPr>
                <w:rFonts w:ascii="Calibri" w:cs="Calibri" w:eastAsia="Calibri" w:hAnsi="Calibri"/>
                <w:color w:val="1F2A23"/>
                <w:sz w:val="22"/>
                <w:szCs w:val="22"/>
              </w:rPr>
              <w:t xml:space="preserve">Approximately 70% of the MVP is genuine production-grade logic: the scheduling algorithm, cost calculation engine, override handling, and state management would all work on live data with no rewrites. The remaining 30% is the integration layer: the price curve is hand-modelled, vehicle state-of-charge is a slider rather than a real telemetry feed, and no commands are dispatched to any physical charger or car. This is appropriate for an early MVP — the integration work is well-understood and time-bounded, and demonstrating the user value first is more important than wiring up live feeds.</w:t>
            </w:r>
          </w:p>
        </w:tc>
      </w:tr>
    </w:tbl>
    <w:p>
      <w:pPr>
        <w:pStyle w:val="Heading2"/>
        <w:spacing w:after="160" w:before="280"/>
      </w:pPr>
      <w:r>
        <w:rPr>
          <w:rFonts w:ascii="Calibri" w:cs="Calibri" w:eastAsia="Calibri" w:hAnsi="Calibri"/>
          <w:b/>
          <w:bCs/>
          <w:color w:val="1F2A23"/>
          <w:sz w:val="26"/>
          <w:szCs w:val="26"/>
        </w:rPr>
        <w:t xml:space="preserve">4.1 What is functionally real</w:t>
      </w:r>
    </w:p>
    <w:p>
      <w:pPr>
        <w:pStyle w:val="Heading3"/>
        <w:spacing w:after="120" w:before="220"/>
      </w:pPr>
      <w:r>
        <w:rPr>
          <w:rFonts w:ascii="Calibri" w:cs="Calibri" w:eastAsia="Calibri" w:hAnsi="Calibri"/>
          <w:b/>
          <w:bCs/>
          <w:color w:val="3A6A36"/>
          <w:sz w:val="23"/>
          <w:szCs w:val="23"/>
        </w:rPr>
        <w:t xml:space="preserve">Scheduling algorithm</w:t>
      </w:r>
    </w:p>
    <w:p>
      <w:pPr>
        <w:spacing w:after="140" w:before="0" w:line="300"/>
        <w:jc w:val="left"/>
      </w:pPr>
      <w:r>
        <w:rPr>
          <w:rFonts w:ascii="Calibri" w:cs="Calibri" w:eastAsia="Calibri" w:hAnsi="Calibri"/>
          <w:color w:val="1F2A23"/>
          <w:sz w:val="22"/>
          <w:szCs w:val="22"/>
        </w:rPr>
        <w:t xml:space="preserve">Given a price curve, a plug-in time, a departure time, and an energy requirement, the application computes the minimum-cost set of contiguous-or-non-contiguous half-hour intervals that satisfy the constraint. The algorithm:</w:t>
      </w:r>
    </w:p>
    <w:p>
      <w:pPr>
        <w:pStyle w:val="ListParagraph"/>
        <w:numPr>
          <w:ilvl w:val="0"/>
          <w:numId w:val="2"/>
        </w:numPr>
        <w:spacing w:after="100" w:line="300"/>
      </w:pPr>
      <w:r>
        <w:rPr>
          <w:rFonts w:ascii="Calibri" w:cs="Calibri" w:eastAsia="Calibri" w:hAnsi="Calibri"/>
          <w:color w:val="1F2A23"/>
          <w:sz w:val="22"/>
          <w:szCs w:val="22"/>
        </w:rPr>
        <w:t xml:space="preserve">Computes energy needed as (target SoC − current SoC) × battery capacity in kWh.</w:t>
      </w:r>
    </w:p>
    <w:p>
      <w:pPr>
        <w:pStyle w:val="ListParagraph"/>
        <w:numPr>
          <w:ilvl w:val="0"/>
          <w:numId w:val="2"/>
        </w:numPr>
        <w:spacing w:after="100" w:line="300"/>
      </w:pPr>
      <w:r>
        <w:rPr>
          <w:rFonts w:ascii="Calibri" w:cs="Calibri" w:eastAsia="Calibri" w:hAnsi="Calibri"/>
          <w:color w:val="1F2A23"/>
          <w:sz w:val="22"/>
          <w:szCs w:val="22"/>
        </w:rPr>
        <w:t xml:space="preserve">Computes intervals needed as ceil(energy ÷ (charger power × 0.5 hours)).</w:t>
      </w:r>
    </w:p>
    <w:p>
      <w:pPr>
        <w:pStyle w:val="ListParagraph"/>
        <w:numPr>
          <w:ilvl w:val="0"/>
          <w:numId w:val="2"/>
        </w:numPr>
        <w:spacing w:after="100" w:line="300"/>
      </w:pPr>
      <w:r>
        <w:rPr>
          <w:rFonts w:ascii="Calibri" w:cs="Calibri" w:eastAsia="Calibri" w:hAnsi="Calibri"/>
          <w:color w:val="1F2A23"/>
          <w:sz w:val="22"/>
          <w:szCs w:val="22"/>
        </w:rPr>
        <w:t xml:space="preserve">Ranks every 30-minute interval inside the user's window by forecast price.</w:t>
      </w:r>
    </w:p>
    <w:p>
      <w:pPr>
        <w:pStyle w:val="ListParagraph"/>
        <w:numPr>
          <w:ilvl w:val="0"/>
          <w:numId w:val="2"/>
        </w:numPr>
        <w:spacing w:after="100" w:line="300"/>
      </w:pPr>
      <w:r>
        <w:rPr>
          <w:rFonts w:ascii="Calibri" w:cs="Calibri" w:eastAsia="Calibri" w:hAnsi="Calibri"/>
          <w:color w:val="1F2A23"/>
          <w:sz w:val="22"/>
          <w:szCs w:val="22"/>
        </w:rPr>
        <w:t xml:space="preserve">Selects the N cheapest intervals.</w:t>
      </w:r>
    </w:p>
    <w:p>
      <w:pPr>
        <w:pStyle w:val="ListParagraph"/>
        <w:numPr>
          <w:ilvl w:val="0"/>
          <w:numId w:val="2"/>
        </w:numPr>
        <w:spacing w:after="100" w:line="300"/>
      </w:pPr>
      <w:r>
        <w:rPr>
          <w:rFonts w:ascii="Calibri" w:cs="Calibri" w:eastAsia="Calibri" w:hAnsi="Calibri"/>
          <w:color w:val="1F2A23"/>
          <w:sz w:val="22"/>
          <w:szCs w:val="22"/>
        </w:rPr>
        <w:t xml:space="preserve">Recomputes instantly on any input change, including user overrides.</w:t>
      </w:r>
    </w:p>
    <w:p>
      <w:pPr>
        <w:spacing w:after="140" w:before="0" w:line="300"/>
        <w:jc w:val="left"/>
      </w:pPr>
      <w:r>
        <w:rPr>
          <w:rFonts w:ascii="Calibri" w:cs="Calibri" w:eastAsia="Calibri" w:hAnsi="Calibri"/>
          <w:color w:val="1F2A23"/>
          <w:sz w:val="22"/>
          <w:szCs w:val="22"/>
        </w:rPr>
        <w:t xml:space="preserve">This algorithm is essentially identical to what would run in production — only the source of the price array changes.</w:t>
      </w:r>
    </w:p>
    <w:p>
      <w:pPr>
        <w:pStyle w:val="Heading3"/>
        <w:spacing w:after="120" w:before="220"/>
      </w:pPr>
      <w:r>
        <w:rPr>
          <w:rFonts w:ascii="Calibri" w:cs="Calibri" w:eastAsia="Calibri" w:hAnsi="Calibri"/>
          <w:b/>
          <w:bCs/>
          <w:color w:val="3A6A36"/>
          <w:sz w:val="23"/>
          <w:szCs w:val="23"/>
        </w:rPr>
        <w:t xml:space="preserve">Override system</w:t>
      </w:r>
    </w:p>
    <w:p>
      <w:pPr>
        <w:spacing w:after="140" w:before="0" w:line="300"/>
        <w:jc w:val="left"/>
      </w:pPr>
      <w:r>
        <w:rPr>
          <w:rFonts w:ascii="Calibri" w:cs="Calibri" w:eastAsia="Calibri" w:hAnsi="Calibri"/>
          <w:color w:val="1F2A23"/>
          <w:sz w:val="22"/>
          <w:szCs w:val="22"/>
        </w:rPr>
        <w:t xml:space="preserve">Users can click any in-window interval in the forecast table to either pin it in (force-include) or exclude it (force-exclude). The scheduler re-ranks the remaining candidates and fills the gap. If overrides make the target unachievable, the application surfaces a warning indicating the shortfall.</w:t>
      </w:r>
    </w:p>
    <w:p>
      <w:pPr>
        <w:pStyle w:val="Heading3"/>
        <w:spacing w:after="120" w:before="220"/>
      </w:pPr>
      <w:r>
        <w:rPr>
          <w:rFonts w:ascii="Calibri" w:cs="Calibri" w:eastAsia="Calibri" w:hAnsi="Calibri"/>
          <w:b/>
          <w:bCs/>
          <w:color w:val="3A6A36"/>
          <w:sz w:val="23"/>
          <w:szCs w:val="23"/>
        </w:rPr>
        <w:t xml:space="preserve">Cost calculation</w:t>
      </w:r>
    </w:p>
    <w:p>
      <w:pPr>
        <w:spacing w:after="140" w:before="0" w:line="300"/>
        <w:jc w:val="left"/>
      </w:pPr>
      <w:r>
        <w:rPr>
          <w:rFonts w:ascii="Calibri" w:cs="Calibri" w:eastAsia="Calibri" w:hAnsi="Calibri"/>
          <w:color w:val="1F2A23"/>
          <w:sz w:val="22"/>
          <w:szCs w:val="22"/>
        </w:rPr>
        <w:t xml:space="preserve">Per-interval cost is computed as price (c/kWh) × charger power (kW) × 0.5 hours, summed across the selected intervals. Annualised savings extrapolate by a 70% utilisation factor (charging assumed on roughly 5 of 7 days).</w:t>
      </w:r>
    </w:p>
    <w:p>
      <w:pPr>
        <w:pStyle w:val="Heading2"/>
        <w:spacing w:after="160" w:before="280"/>
      </w:pPr>
      <w:r>
        <w:rPr>
          <w:rFonts w:ascii="Calibri" w:cs="Calibri" w:eastAsia="Calibri" w:hAnsi="Calibri"/>
          <w:b/>
          <w:bCs/>
          <w:color w:val="1F2A23"/>
          <w:sz w:val="26"/>
          <w:szCs w:val="26"/>
        </w:rPr>
        <w:t xml:space="preserve">4.2 What is currently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2B3" w:sz="1"/>
              <w:left w:val="single" w:color="C9C2B3" w:sz="1"/>
              <w:bottom w:val="single" w:color="C9C2B3" w:sz="1"/>
              <w:right w:val="single" w:color="C9C2B3" w:sz="1"/>
            </w:tcBorders>
            <w:shd w:fill="F5E8D8"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Element</w:t>
            </w:r>
          </w:p>
        </w:tc>
        <w:tc>
          <w:tcPr>
            <w:tcW w:type="dxa" w:w="6026"/>
            <w:tcBorders>
              <w:top w:val="single" w:color="C9C2B3" w:sz="1"/>
              <w:left w:val="single" w:color="C9C2B3" w:sz="1"/>
              <w:bottom w:val="single" w:color="C9C2B3" w:sz="1"/>
              <w:right w:val="single" w:color="C9C2B3" w:sz="1"/>
            </w:tcBorders>
            <w:shd w:fill="F5E8D8" w:val="clear"/>
            <w:tcMar>
              <w:top w:type="dxa" w:w="100"/>
              <w:left w:type="dxa" w:w="140"/>
              <w:bottom w:type="dxa" w:w="100"/>
              <w:right w:type="dxa" w:w="140"/>
            </w:tcMar>
          </w:tcPr>
          <w:p>
            <w:pPr>
              <w:spacing w:after="0" w:line="280"/>
            </w:pPr>
            <w:r>
              <w:rPr>
                <w:rFonts w:ascii="Calibri" w:cs="Calibri" w:eastAsia="Calibri" w:hAnsi="Calibri"/>
                <w:b/>
                <w:bCs/>
                <w:color w:val="1F2A23"/>
                <w:sz w:val="20"/>
                <w:szCs w:val="20"/>
              </w:rPr>
              <w:t xml:space="preserve">Current state in MVP</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Price curve</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48 hand-modelled half-hour prices for NSW1, shaped to match typical patterns: overnight trough, midday solar dip with negative pricing, evening peak ramp. Static, not refreshed.</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Current state-of-charge</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User-controlled slider. No telemetry from any vehicle.</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Live AEMO indicator</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The 'NSW1 · live pre-dispatch' badge with pulsing dot is presentational. No data is being fetched.</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Charge dispatch</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No commands are sent. The application visualises a schedule it would issue. No connection to any vehicle or charger.</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User accounts</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No persistence. State resets on browser refresh. No login, no database.</w:t>
            </w:r>
          </w:p>
        </w:tc>
      </w:tr>
      <w:tr>
        <w:tc>
          <w:tcPr>
            <w:tcW w:type="dxa" w:w="3000"/>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Retail tariff awareness</w:t>
            </w:r>
          </w:p>
        </w:tc>
        <w:tc>
          <w:tcPr>
            <w:tcW w:type="dxa" w:w="6026"/>
            <w:tcBorders>
              <w:top w:val="single" w:color="C9C2B3" w:sz="1"/>
              <w:left w:val="single" w:color="C9C2B3" w:sz="1"/>
              <w:bottom w:val="single" w:color="C9C2B3" w:sz="1"/>
              <w:right w:val="single" w:color="C9C2B3" w:sz="1"/>
            </w:tcBorders>
            <w:tcMar>
              <w:top w:type="dxa" w:w="100"/>
              <w:left w:type="dxa" w:w="140"/>
              <w:bottom w:type="dxa" w:w="100"/>
              <w:right w:type="dxa" w:w="140"/>
            </w:tcMar>
          </w:tcPr>
          <w:p>
            <w:pPr>
              <w:spacing w:after="0" w:line="280"/>
            </w:pPr>
            <w:r>
              <w:rPr>
                <w:rFonts w:ascii="Calibri" w:cs="Calibri" w:eastAsia="Calibri" w:hAnsi="Calibri"/>
                <w:color w:val="1F2A23"/>
                <w:sz w:val="20"/>
                <w:szCs w:val="20"/>
              </w:rPr>
              <w:t xml:space="preserve">Wholesale price is shown directly. Network charges, retailer margins, and fixed daily supply charges are not modelled.</w:t>
            </w:r>
          </w:p>
        </w:tc>
      </w:tr>
    </w:tbl>
    <w:p>
      <w:pPr>
        <w:spacing w:after="200" w:before="0" w:line="300"/>
        <w:jc w:val="left"/>
      </w:pPr>
      <w:r>
        <w:rPr>
          <w:rFonts w:ascii="Calibri" w:cs="Calibri" w:eastAsia="Calibri" w:hAnsi="Calibri"/>
          <w:color w:val="1F2A23"/>
          <w:sz w:val="22"/>
          <w:szCs w:val="22"/>
        </w:rPr>
        <w:t xml:space="preserve"/>
      </w:r>
    </w:p>
    <w:p>
      <w:pPr>
        <w:pStyle w:val="Heading1"/>
        <w:spacing w:after="200" w:before="360"/>
      </w:pPr>
      <w:r>
        <w:rPr>
          <w:rFonts w:ascii="Calibri" w:cs="Calibri" w:eastAsia="Calibri" w:hAnsi="Calibri"/>
          <w:b/>
          <w:bCs/>
          <w:color w:val="3A6A36"/>
          <w:sz w:val="32"/>
          <w:szCs w:val="32"/>
        </w:rPr>
        <w:t xml:space="preserve">5. Modelling: the simulated NSW1 price curve</w:t>
      </w:r>
    </w:p>
    <w:p>
      <w:pPr>
        <w:spacing w:after="140" w:before="0" w:line="300"/>
        <w:jc w:val="left"/>
      </w:pPr>
      <w:r>
        <w:rPr>
          <w:rFonts w:ascii="Calibri" w:cs="Calibri" w:eastAsia="Calibri" w:hAnsi="Calibri"/>
          <w:color w:val="1F2A23"/>
          <w:sz w:val="22"/>
          <w:szCs w:val="22"/>
        </w:rPr>
        <w:t xml:space="preserve">The price curve used in the MVP is a 48-element array representing one full day of 30-minute intervals for NSW1. It is generated by combining a hand-tuned baseline shape with light deterministic jitter from a sum of sine and cosine terms. The resulting curve preserves the four features that matter for demonstration:</w:t>
      </w:r>
    </w:p>
    <w:p>
      <w:pPr>
        <w:pStyle w:val="ListParagraph"/>
        <w:numPr>
          <w:ilvl w:val="0"/>
          <w:numId w:val="2"/>
        </w:numPr>
        <w:spacing w:after="100" w:line="300"/>
      </w:pPr>
      <w:r>
        <w:rPr>
          <w:rFonts w:ascii="Calibri" w:cs="Calibri" w:eastAsia="Calibri" w:hAnsi="Calibri"/>
          <w:color w:val="1F2A23"/>
          <w:sz w:val="22"/>
          <w:szCs w:val="22"/>
        </w:rPr>
        <w:t xml:space="preserve">An overnight trough (roughly 23:00–05:30) where prices sit between 2–6 c/kWh.</w:t>
      </w:r>
    </w:p>
    <w:p>
      <w:pPr>
        <w:pStyle w:val="ListParagraph"/>
        <w:numPr>
          <w:ilvl w:val="0"/>
          <w:numId w:val="2"/>
        </w:numPr>
        <w:spacing w:after="100" w:line="300"/>
      </w:pPr>
      <w:r>
        <w:rPr>
          <w:rFonts w:ascii="Calibri" w:cs="Calibri" w:eastAsia="Calibri" w:hAnsi="Calibri"/>
          <w:color w:val="1F2A23"/>
          <w:sz w:val="22"/>
          <w:szCs w:val="22"/>
        </w:rPr>
        <w:t xml:space="preserve">A morning ramp into the start-of-business demand peak.</w:t>
      </w:r>
    </w:p>
    <w:p>
      <w:pPr>
        <w:pStyle w:val="ListParagraph"/>
        <w:numPr>
          <w:ilvl w:val="0"/>
          <w:numId w:val="2"/>
        </w:numPr>
        <w:spacing w:after="100" w:line="300"/>
      </w:pPr>
      <w:r>
        <w:rPr>
          <w:rFonts w:ascii="Calibri" w:cs="Calibri" w:eastAsia="Calibri" w:hAnsi="Calibri"/>
          <w:color w:val="1F2A23"/>
          <w:sz w:val="22"/>
          <w:szCs w:val="22"/>
        </w:rPr>
        <w:t xml:space="preserve">A midday solar dip (roughly 09:30–12:00) where prices briefly turn negative as rooftop and utility-scale solar oversupplies the grid.</w:t>
      </w:r>
    </w:p>
    <w:p>
      <w:pPr>
        <w:pStyle w:val="ListParagraph"/>
        <w:numPr>
          <w:ilvl w:val="0"/>
          <w:numId w:val="2"/>
        </w:numPr>
        <w:spacing w:after="100" w:line="300"/>
      </w:pPr>
      <w:r>
        <w:rPr>
          <w:rFonts w:ascii="Calibri" w:cs="Calibri" w:eastAsia="Calibri" w:hAnsi="Calibri"/>
          <w:color w:val="1F2A23"/>
          <w:sz w:val="22"/>
          <w:szCs w:val="22"/>
        </w:rPr>
        <w:t xml:space="preserve">A pronounced evening peak (16:30–19:30) with prices reaching 70–80 c/kWh, reflecting the post-solar demand ramp.</w:t>
      </w:r>
    </w:p>
    <w:p>
      <w:pPr>
        <w:spacing w:after="140" w:before="0" w:line="300"/>
        <w:jc w:val="left"/>
      </w:pPr>
      <w:r>
        <w:rPr>
          <w:rFonts w:ascii="Calibri" w:cs="Calibri" w:eastAsia="Calibri" w:hAnsi="Calibri"/>
          <w:color w:val="1F2A23"/>
          <w:sz w:val="22"/>
          <w:szCs w:val="22"/>
        </w:rPr>
        <w:t xml:space="preserve">Hourly values are calibrated to match observed NSW1 patterns during a typical autumn weekday in 2025. The jitter term ensures adjacent intervals are not identical and that the curve has the texture of real data. It is not, however, drawn from any specific historical day.</w:t>
      </w:r>
    </w:p>
    <w:p>
      <w:pPr>
        <w:pStyle w:val="Heading2"/>
        <w:spacing w:after="160" w:before="280"/>
      </w:pPr>
      <w:r>
        <w:rPr>
          <w:rFonts w:ascii="Calibri" w:cs="Calibri" w:eastAsia="Calibri" w:hAnsi="Calibri"/>
          <w:b/>
          <w:bCs/>
          <w:color w:val="1F2A23"/>
          <w:sz w:val="26"/>
          <w:szCs w:val="26"/>
        </w:rPr>
        <w:t xml:space="preserve">5.1 Cost computation</w:t>
      </w:r>
    </w:p>
    <w:p>
      <w:pPr>
        <w:spacing w:after="140" w:before="0" w:line="300"/>
        <w:jc w:val="left"/>
      </w:pPr>
      <w:r>
        <w:rPr>
          <w:rFonts w:ascii="Calibri" w:cs="Calibri" w:eastAsia="Calibri" w:hAnsi="Calibri"/>
          <w:color w:val="1F2A23"/>
          <w:sz w:val="22"/>
          <w:szCs w:val="22"/>
        </w:rPr>
        <w:t xml:space="preserve">The MVP computes per-interval cost as follows:</w:t>
      </w:r>
    </w:p>
    <w:p>
      <w:pPr>
        <w:spacing w:after="140" w:line="300"/>
        <w:jc w:val="left"/>
      </w:pPr>
      <w:r>
        <w:rPr>
          <w:rFonts w:ascii="Consolas" w:cs="Consolas" w:eastAsia="Consolas" w:hAnsi="Consolas"/>
          <w:color w:val="1F2A23"/>
          <w:sz w:val="22"/>
          <w:szCs w:val="22"/>
        </w:rPr>
        <w:t xml:space="preserve">cost_per_interval = (price ÷ 100) × charger_kW × 0.5</w:t>
      </w:r>
    </w:p>
    <w:p>
      <w:pPr>
        <w:spacing w:after="140" w:before="0" w:line="300"/>
        <w:jc w:val="left"/>
      </w:pPr>
      <w:r>
        <w:rPr>
          <w:rFonts w:ascii="Calibri" w:cs="Calibri" w:eastAsia="Calibri" w:hAnsi="Calibri"/>
          <w:color w:val="1F2A23"/>
          <w:sz w:val="22"/>
          <w:szCs w:val="22"/>
        </w:rPr>
        <w:t xml:space="preserve">where price is in cents per kWh, charger_kW is the deliverable charging power (typically 7.4 kW for a 32A single-phase wall-mounted AC charger), and 0.5 represents the half-hour interval length. The total session cost is the sum across all selected intervals.</w:t>
      </w:r>
    </w:p>
    <w:p>
      <w:pPr>
        <w:pStyle w:val="Heading2"/>
        <w:spacing w:after="160" w:before="280"/>
      </w:pPr>
      <w:r>
        <w:rPr>
          <w:rFonts w:ascii="Calibri" w:cs="Calibri" w:eastAsia="Calibri" w:hAnsi="Calibri"/>
          <w:b/>
          <w:bCs/>
          <w:color w:val="1F2A23"/>
          <w:sz w:val="26"/>
          <w:szCs w:val="26"/>
        </w:rPr>
        <w:t xml:space="preserve">5.2 Limitations</w:t>
      </w:r>
    </w:p>
    <w:p>
      <w:pPr>
        <w:pStyle w:val="ListParagraph"/>
        <w:numPr>
          <w:ilvl w:val="0"/>
          <w:numId w:val="2"/>
        </w:numPr>
        <w:spacing w:after="100" w:line="300"/>
      </w:pPr>
      <w:r>
        <w:rPr>
          <w:rFonts w:ascii="Calibri" w:cs="Calibri" w:eastAsia="Calibri" w:hAnsi="Calibri"/>
          <w:color w:val="1F2A23"/>
          <w:sz w:val="22"/>
          <w:szCs w:val="22"/>
        </w:rPr>
        <w:t xml:space="preserve">The model uses wholesale prices directly; in practice, a consumer on a wholesale-passthrough plan pays wholesale plus network charges, retailer margin, and applicable taxes. Network charges in NSW typically add 8–12 c/kWh; the gross differential between cheap and peak periods compresses correspondingly.</w:t>
      </w:r>
    </w:p>
    <w:p>
      <w:pPr>
        <w:pStyle w:val="ListParagraph"/>
        <w:numPr>
          <w:ilvl w:val="0"/>
          <w:numId w:val="2"/>
        </w:numPr>
        <w:spacing w:after="100" w:line="300"/>
      </w:pPr>
      <w:r>
        <w:rPr>
          <w:rFonts w:ascii="Calibri" w:cs="Calibri" w:eastAsia="Calibri" w:hAnsi="Calibri"/>
          <w:color w:val="1F2A23"/>
          <w:sz w:val="22"/>
          <w:szCs w:val="22"/>
        </w:rPr>
        <w:t xml:space="preserve">Charging efficiency losses (AC-to-DC conversion in the on-board charger, approximately 8–12% on most EVs) are not modelled. Energy delivered to the battery is less than energy drawn from the grid.</w:t>
      </w:r>
    </w:p>
    <w:p>
      <w:pPr>
        <w:pStyle w:val="ListParagraph"/>
        <w:numPr>
          <w:ilvl w:val="0"/>
          <w:numId w:val="2"/>
        </w:numPr>
        <w:spacing w:after="100" w:line="300"/>
      </w:pPr>
      <w:r>
        <w:rPr>
          <w:rFonts w:ascii="Calibri" w:cs="Calibri" w:eastAsia="Calibri" w:hAnsi="Calibri"/>
          <w:color w:val="1F2A23"/>
          <w:sz w:val="22"/>
          <w:szCs w:val="22"/>
        </w:rPr>
        <w:t xml:space="preserve">The model assumes constant power delivery for the entire interval. In reality, charging power tapers as the battery approaches full, particularly above ~80% state-of-charge.</w:t>
      </w:r>
    </w:p>
    <w:p>
      <w:pPr>
        <w:pStyle w:val="ListParagraph"/>
        <w:numPr>
          <w:ilvl w:val="0"/>
          <w:numId w:val="2"/>
        </w:numPr>
        <w:spacing w:after="100" w:line="300"/>
      </w:pPr>
      <w:r>
        <w:rPr>
          <w:rFonts w:ascii="Calibri" w:cs="Calibri" w:eastAsia="Calibri" w:hAnsi="Calibri"/>
          <w:color w:val="1F2A23"/>
          <w:sz w:val="22"/>
          <w:szCs w:val="22"/>
        </w:rPr>
        <w:t xml:space="preserve">No solar self-consumption is modelled. A household with rooftop solar may prefer to charge during the day from its own production rather than the grid; this is a v2 feature.</w:t>
      </w:r>
    </w:p>
    <w:p>
      <w:pPr>
        <w:pStyle w:val="Heading1"/>
        <w:spacing w:after="200" w:before="360"/>
      </w:pPr>
      <w:r>
        <w:rPr>
          <w:rFonts w:ascii="Calibri" w:cs="Calibri" w:eastAsia="Calibri" w:hAnsi="Calibri"/>
          <w:b/>
          <w:bCs/>
          <w:color w:val="3A6A36"/>
          <w:sz w:val="32"/>
          <w:szCs w:val="32"/>
        </w:rPr>
        <w:t xml:space="preserve">6. Build plan: MVP to production</w:t>
      </w:r>
    </w:p>
    <w:p>
      <w:pPr>
        <w:spacing w:after="140" w:before="0" w:line="300"/>
        <w:jc w:val="left"/>
      </w:pPr>
      <w:r>
        <w:rPr>
          <w:rFonts w:ascii="Calibri" w:cs="Calibri" w:eastAsia="Calibri" w:hAnsi="Calibri"/>
          <w:color w:val="1F2A23"/>
          <w:sz w:val="22"/>
          <w:szCs w:val="22"/>
        </w:rPr>
        <w:t xml:space="preserve">The path from the present demo to a deployable consumer product is well-defined. It breaks into four phases. Estimates assume a small founding team (one to two engineers, one designer-product person) and informed users in a closed beta.</w:t>
      </w:r>
    </w:p>
    <w:p>
      <w:pPr>
        <w:pStyle w:val="Heading2"/>
        <w:spacing w:after="160" w:before="280"/>
      </w:pPr>
      <w:r>
        <w:rPr>
          <w:rFonts w:ascii="Calibri" w:cs="Calibri" w:eastAsia="Calibri" w:hAnsi="Calibri"/>
          <w:b/>
          <w:bCs/>
          <w:color w:val="1F2A23"/>
          <w:sz w:val="26"/>
          <w:szCs w:val="26"/>
        </w:rPr>
        <w:t xml:space="preserve">6.1 Phase 1 — Real AEMO ingestion (2 weeks)</w:t>
      </w:r>
    </w:p>
    <w:p>
      <w:pPr>
        <w:pStyle w:val="ListParagraph"/>
        <w:numPr>
          <w:ilvl w:val="0"/>
          <w:numId w:val="2"/>
        </w:numPr>
        <w:spacing w:after="100" w:line="300"/>
      </w:pPr>
      <w:r>
        <w:rPr>
          <w:rFonts w:ascii="Calibri" w:cs="Calibri" w:eastAsia="Calibri" w:hAnsi="Calibri"/>
          <w:color w:val="1F2A23"/>
          <w:sz w:val="22"/>
          <w:szCs w:val="22"/>
        </w:rPr>
        <w:t xml:space="preserve">Build a small backend service (Node or Python on serverless infrastructure) that polls AEMO NEMWeb on a 5-minute schedule and a 30-minute pre-dispatch schedule, parses the published CSV/ZIP feeds, and caches the latest values keyed by region.</w:t>
      </w:r>
    </w:p>
    <w:p>
      <w:pPr>
        <w:pStyle w:val="ListParagraph"/>
        <w:numPr>
          <w:ilvl w:val="0"/>
          <w:numId w:val="2"/>
        </w:numPr>
        <w:spacing w:after="100" w:line="300"/>
      </w:pPr>
      <w:r>
        <w:rPr>
          <w:rFonts w:ascii="Calibri" w:cs="Calibri" w:eastAsia="Calibri" w:hAnsi="Calibri"/>
          <w:color w:val="1F2A23"/>
          <w:sz w:val="22"/>
          <w:szCs w:val="22"/>
        </w:rPr>
        <w:t xml:space="preserve">Expose a single JSON endpoint returning the current pre-dispatch forecast for the user's region.</w:t>
      </w:r>
    </w:p>
    <w:p>
      <w:pPr>
        <w:pStyle w:val="ListParagraph"/>
        <w:numPr>
          <w:ilvl w:val="0"/>
          <w:numId w:val="2"/>
        </w:numPr>
        <w:spacing w:after="100" w:line="300"/>
      </w:pPr>
      <w:r>
        <w:rPr>
          <w:rFonts w:ascii="Calibri" w:cs="Calibri" w:eastAsia="Calibri" w:hAnsi="Calibri"/>
          <w:color w:val="1F2A23"/>
          <w:sz w:val="22"/>
          <w:szCs w:val="22"/>
        </w:rPr>
        <w:t xml:space="preserve">Front the endpoint with a CDN edge cache and respect AEMO's request-rate norms.</w:t>
      </w:r>
    </w:p>
    <w:p>
      <w:pPr>
        <w:pStyle w:val="ListParagraph"/>
        <w:numPr>
          <w:ilvl w:val="0"/>
          <w:numId w:val="2"/>
        </w:numPr>
        <w:spacing w:after="100" w:line="300"/>
      </w:pPr>
      <w:r>
        <w:rPr>
          <w:rFonts w:ascii="Calibri" w:cs="Calibri" w:eastAsia="Calibri" w:hAnsi="Calibri"/>
          <w:color w:val="1F2A23"/>
          <w:sz w:val="22"/>
          <w:szCs w:val="22"/>
        </w:rPr>
        <w:t xml:space="preserve">Replace the hand-modelled curve in the MVP with a fetch from this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7A3A" w:sz="18"/>
              <w:bottom w:val="none" w:color="FFFFFF" w:sz="0"/>
              <w:right w:val="none" w:color="FFFFFF" w:sz="0"/>
            </w:tcBorders>
            <w:shd w:fill="F5F0E6" w:val="clear"/>
            <w:tcMar>
              <w:top w:type="dxa" w:w="160"/>
              <w:left w:type="dxa" w:w="220"/>
              <w:bottom w:type="dxa" w:w="160"/>
              <w:right w:type="dxa" w:w="200"/>
            </w:tcMar>
          </w:tcPr>
          <w:p>
            <w:pPr>
              <w:spacing w:after="80"/>
            </w:pPr>
            <w:r>
              <w:rPr>
                <w:rFonts w:ascii="Calibri" w:cs="Calibri" w:eastAsia="Calibri" w:hAnsi="Calibri"/>
                <w:b/>
                <w:bCs/>
                <w:color w:val="C97A3A"/>
                <w:sz w:val="18"/>
                <w:szCs w:val="18"/>
              </w:rPr>
              <w:t xml:space="preserve">KNOWN UNKNOWN</w:t>
            </w:r>
          </w:p>
          <w:p>
            <w:pPr>
              <w:spacing w:after="0" w:line="300"/>
            </w:pPr>
            <w:r>
              <w:rPr>
                <w:rFonts w:ascii="Calibri" w:cs="Calibri" w:eastAsia="Calibri" w:hAnsi="Calibri"/>
                <w:color w:val="1F2A23"/>
                <w:sz w:val="22"/>
                <w:szCs w:val="22"/>
              </w:rPr>
              <w:t xml:space="preserve">AEMO is migrating the platform supporting NEMWeb on 30 April 2026, decommissioning plain-HTTP support on 7 April 2026 and changing case-sensitive URL handling. The ingestion service must be built against the new endpoints from day one, and the migration timeline confirmed before launch.</w:t>
            </w:r>
          </w:p>
        </w:tc>
      </w:tr>
    </w:tbl>
    <w:p>
      <w:pPr>
        <w:pStyle w:val="Heading2"/>
        <w:spacing w:after="160" w:before="280"/>
      </w:pPr>
      <w:r>
        <w:rPr>
          <w:rFonts w:ascii="Calibri" w:cs="Calibri" w:eastAsia="Calibri" w:hAnsi="Calibri"/>
          <w:b/>
          <w:bCs/>
          <w:color w:val="1F2A23"/>
          <w:sz w:val="26"/>
          <w:szCs w:val="26"/>
        </w:rPr>
        <w:t xml:space="preserve">6.2 Phase 2 — One vehicle integration (3 weeks)</w:t>
      </w:r>
    </w:p>
    <w:p>
      <w:pPr>
        <w:spacing w:after="140" w:before="0" w:line="300"/>
        <w:jc w:val="left"/>
      </w:pPr>
      <w:r>
        <w:rPr>
          <w:rFonts w:ascii="Calibri" w:cs="Calibri" w:eastAsia="Calibri" w:hAnsi="Calibri"/>
          <w:color w:val="1F2A23"/>
          <w:sz w:val="22"/>
          <w:szCs w:val="22"/>
        </w:rPr>
        <w:t xml:space="preserve">The MVP is intentionally vehicle-agnostic, but a deployable product needs at minimum one real integration. The recommended starting point is Tesla, which is the most-installed EV in Australia and has the cleanest documented API.</w:t>
      </w:r>
    </w:p>
    <w:p>
      <w:pPr>
        <w:pStyle w:val="ListParagraph"/>
        <w:numPr>
          <w:ilvl w:val="0"/>
          <w:numId w:val="2"/>
        </w:numPr>
        <w:spacing w:after="100" w:line="300"/>
      </w:pPr>
      <w:r>
        <w:rPr>
          <w:rFonts w:ascii="Calibri" w:cs="Calibri" w:eastAsia="Calibri" w:hAnsi="Calibri"/>
          <w:color w:val="1F2A23"/>
          <w:sz w:val="22"/>
          <w:szCs w:val="22"/>
        </w:rPr>
        <w:t xml:space="preserve">Implement Tesla Fleet API OAuth flow. The user authorises amped to read vehicle state and start/stop charging.</w:t>
      </w:r>
    </w:p>
    <w:p>
      <w:pPr>
        <w:pStyle w:val="ListParagraph"/>
        <w:numPr>
          <w:ilvl w:val="0"/>
          <w:numId w:val="2"/>
        </w:numPr>
        <w:spacing w:after="100" w:line="300"/>
      </w:pPr>
      <w:r>
        <w:rPr>
          <w:rFonts w:ascii="Calibri" w:cs="Calibri" w:eastAsia="Calibri" w:hAnsi="Calibri"/>
          <w:color w:val="1F2A23"/>
          <w:sz w:val="22"/>
          <w:szCs w:val="22"/>
        </w:rPr>
        <w:t xml:space="preserve">Read current state-of-charge on plug-in detection.</w:t>
      </w:r>
    </w:p>
    <w:p>
      <w:pPr>
        <w:pStyle w:val="ListParagraph"/>
        <w:numPr>
          <w:ilvl w:val="0"/>
          <w:numId w:val="2"/>
        </w:numPr>
        <w:spacing w:after="100" w:line="300"/>
      </w:pPr>
      <w:r>
        <w:rPr>
          <w:rFonts w:ascii="Calibri" w:cs="Calibri" w:eastAsia="Calibri" w:hAnsi="Calibri"/>
          <w:color w:val="1F2A23"/>
          <w:sz w:val="22"/>
          <w:szCs w:val="22"/>
        </w:rPr>
        <w:t xml:space="preserve">Issue start_charging and stop_charging commands at scheduled interval boundaries.</w:t>
      </w:r>
    </w:p>
    <w:p>
      <w:pPr>
        <w:pStyle w:val="ListParagraph"/>
        <w:numPr>
          <w:ilvl w:val="0"/>
          <w:numId w:val="2"/>
        </w:numPr>
        <w:spacing w:after="100" w:line="300"/>
      </w:pPr>
      <w:r>
        <w:rPr>
          <w:rFonts w:ascii="Calibri" w:cs="Calibri" w:eastAsia="Calibri" w:hAnsi="Calibri"/>
          <w:color w:val="1F2A23"/>
          <w:sz w:val="22"/>
          <w:szCs w:val="22"/>
        </w:rPr>
        <w:t xml:space="preserve">Implement reconciliation: confirm commands took effect by re-reading state shortly after issuing.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7A3A" w:sz="18"/>
              <w:bottom w:val="none" w:color="FFFFFF" w:sz="0"/>
              <w:right w:val="none" w:color="FFFFFF" w:sz="0"/>
            </w:tcBorders>
            <w:shd w:fill="F5F0E6" w:val="clear"/>
            <w:tcMar>
              <w:top w:type="dxa" w:w="160"/>
              <w:left w:type="dxa" w:w="220"/>
              <w:bottom w:type="dxa" w:w="160"/>
              <w:right w:type="dxa" w:w="200"/>
            </w:tcMar>
          </w:tcPr>
          <w:p>
            <w:pPr>
              <w:spacing w:after="80"/>
            </w:pPr>
            <w:r>
              <w:rPr>
                <w:rFonts w:ascii="Calibri" w:cs="Calibri" w:eastAsia="Calibri" w:hAnsi="Calibri"/>
                <w:b/>
                <w:bCs/>
                <w:color w:val="C97A3A"/>
                <w:sz w:val="18"/>
                <w:szCs w:val="18"/>
              </w:rPr>
              <w:t xml:space="preserve">KNOWN UNKNOWN</w:t>
            </w:r>
          </w:p>
          <w:p>
            <w:pPr>
              <w:spacing w:after="0" w:line="300"/>
            </w:pPr>
            <w:r>
              <w:rPr>
                <w:rFonts w:ascii="Calibri" w:cs="Calibri" w:eastAsia="Calibri" w:hAnsi="Calibri"/>
                <w:color w:val="1F2A23"/>
                <w:sz w:val="22"/>
                <w:szCs w:val="22"/>
              </w:rPr>
              <w:t xml:space="preserve">Tesla now charges per-API-call (in the order of fractions of a cent). Unit economics need confirming once command volume per user per day is measured in beta. For non-Tesla vehicles, integration paths vary widely: Polestar and BMW have APIs gated by partnership agreements; Hyundai/Kia and Ford have informal but unsupported routes; BYD and MG — substantial market share in Australia — have no public API at all. The smart-plug fallback (a Shelly or similar inline-of-the-EVSE-circuit, controlled directly) covers this gap but requires hardware on the user's premises.</w:t>
            </w:r>
          </w:p>
        </w:tc>
      </w:tr>
    </w:tbl>
    <w:p>
      <w:pPr>
        <w:pStyle w:val="Heading2"/>
        <w:spacing w:after="160" w:before="280"/>
      </w:pPr>
      <w:r>
        <w:rPr>
          <w:rFonts w:ascii="Calibri" w:cs="Calibri" w:eastAsia="Calibri" w:hAnsi="Calibri"/>
          <w:b/>
          <w:bCs/>
          <w:color w:val="1F2A23"/>
          <w:sz w:val="26"/>
          <w:szCs w:val="26"/>
        </w:rPr>
        <w:t xml:space="preserve">6.3 Phase 3 — User accounts and persistence (2 weeks)</w:t>
      </w:r>
    </w:p>
    <w:p>
      <w:pPr>
        <w:pStyle w:val="ListParagraph"/>
        <w:numPr>
          <w:ilvl w:val="0"/>
          <w:numId w:val="2"/>
        </w:numPr>
        <w:spacing w:after="100" w:line="300"/>
      </w:pPr>
      <w:r>
        <w:rPr>
          <w:rFonts w:ascii="Calibri" w:cs="Calibri" w:eastAsia="Calibri" w:hAnsi="Calibri"/>
          <w:color w:val="1F2A23"/>
          <w:sz w:val="22"/>
          <w:szCs w:val="22"/>
        </w:rPr>
        <w:t xml:space="preserve">User authentication (email + magic link is sufficient; OAuth-based social login optional).</w:t>
      </w:r>
    </w:p>
    <w:p>
      <w:pPr>
        <w:pStyle w:val="ListParagraph"/>
        <w:numPr>
          <w:ilvl w:val="0"/>
          <w:numId w:val="2"/>
        </w:numPr>
        <w:spacing w:after="100" w:line="300"/>
      </w:pPr>
      <w:r>
        <w:rPr>
          <w:rFonts w:ascii="Calibri" w:cs="Calibri" w:eastAsia="Calibri" w:hAnsi="Calibri"/>
          <w:color w:val="1F2A23"/>
          <w:sz w:val="22"/>
          <w:szCs w:val="22"/>
        </w:rPr>
        <w:t xml:space="preserve">Persistent storage of preferences, vehicles, chargers, and historical schedules (Postgres on a managed host).</w:t>
      </w:r>
    </w:p>
    <w:p>
      <w:pPr>
        <w:pStyle w:val="ListParagraph"/>
        <w:numPr>
          <w:ilvl w:val="0"/>
          <w:numId w:val="2"/>
        </w:numPr>
        <w:spacing w:after="100" w:line="300"/>
      </w:pPr>
      <w:r>
        <w:rPr>
          <w:rFonts w:ascii="Calibri" w:cs="Calibri" w:eastAsia="Calibri" w:hAnsi="Calibri"/>
          <w:color w:val="1F2A23"/>
          <w:sz w:val="22"/>
          <w:szCs w:val="22"/>
        </w:rPr>
        <w:t xml:space="preserve">A nightly scheduler that, for each active user, fetches their region's latest pre-dispatch, runs the optimisation, and issues commands to their vehicle/charger.</w:t>
      </w:r>
    </w:p>
    <w:p>
      <w:pPr>
        <w:pStyle w:val="ListParagraph"/>
        <w:numPr>
          <w:ilvl w:val="0"/>
          <w:numId w:val="2"/>
        </w:numPr>
        <w:spacing w:after="100" w:line="300"/>
      </w:pPr>
      <w:r>
        <w:rPr>
          <w:rFonts w:ascii="Calibri" w:cs="Calibri" w:eastAsia="Calibri" w:hAnsi="Calibri"/>
          <w:color w:val="1F2A23"/>
          <w:sz w:val="22"/>
          <w:szCs w:val="22"/>
        </w:rPr>
        <w:t xml:space="preserve">A history view showing past nights' actual versus forecast cost, with a running tally of cumulative savings.</w:t>
      </w:r>
    </w:p>
    <w:p>
      <w:pPr>
        <w:pStyle w:val="Heading2"/>
        <w:spacing w:after="160" w:before="280"/>
      </w:pPr>
      <w:r>
        <w:rPr>
          <w:rFonts w:ascii="Calibri" w:cs="Calibri" w:eastAsia="Calibri" w:hAnsi="Calibri"/>
          <w:b/>
          <w:bCs/>
          <w:color w:val="1F2A23"/>
          <w:sz w:val="26"/>
          <w:szCs w:val="26"/>
        </w:rPr>
        <w:t xml:space="preserve">6.4 Phase 4 — Closed beta and validation (4 weeks)</w:t>
      </w:r>
    </w:p>
    <w:p>
      <w:pPr>
        <w:pStyle w:val="ListParagraph"/>
        <w:numPr>
          <w:ilvl w:val="0"/>
          <w:numId w:val="2"/>
        </w:numPr>
        <w:spacing w:after="100" w:line="300"/>
      </w:pPr>
      <w:r>
        <w:rPr>
          <w:rFonts w:ascii="Calibri" w:cs="Calibri" w:eastAsia="Calibri" w:hAnsi="Calibri"/>
          <w:color w:val="1F2A23"/>
          <w:sz w:val="22"/>
          <w:szCs w:val="22"/>
        </w:rPr>
        <w:t xml:space="preserve">Recruit 20–30 EV-owning households on wholesale-passthrough retail plans, primarily Amber Electric customers (the price signal is most direct for this cohort).</w:t>
      </w:r>
    </w:p>
    <w:p>
      <w:pPr>
        <w:pStyle w:val="ListParagraph"/>
        <w:numPr>
          <w:ilvl w:val="0"/>
          <w:numId w:val="2"/>
        </w:numPr>
        <w:spacing w:after="100" w:line="300"/>
      </w:pPr>
      <w:r>
        <w:rPr>
          <w:rFonts w:ascii="Calibri" w:cs="Calibri" w:eastAsia="Calibri" w:hAnsi="Calibri"/>
          <w:color w:val="1F2A23"/>
          <w:sz w:val="22"/>
          <w:szCs w:val="22"/>
        </w:rPr>
        <w:t xml:space="preserve">Run for at least 30 nights to capture the variance in real conditions, including at least one volatile-pricing event.</w:t>
      </w:r>
    </w:p>
    <w:p>
      <w:pPr>
        <w:pStyle w:val="ListParagraph"/>
        <w:numPr>
          <w:ilvl w:val="0"/>
          <w:numId w:val="2"/>
        </w:numPr>
        <w:spacing w:after="100" w:line="300"/>
      </w:pPr>
      <w:r>
        <w:rPr>
          <w:rFonts w:ascii="Calibri" w:cs="Calibri" w:eastAsia="Calibri" w:hAnsi="Calibri"/>
          <w:color w:val="1F2A23"/>
          <w:sz w:val="22"/>
          <w:szCs w:val="22"/>
        </w:rPr>
        <w:t xml:space="preserve">Measure: actual cost versus the baseline (charge-on-plug-in), forecast accuracy, command success rate, user-reported friction points.</w:t>
      </w:r>
    </w:p>
    <w:p>
      <w:pPr>
        <w:pStyle w:val="ListParagraph"/>
        <w:numPr>
          <w:ilvl w:val="0"/>
          <w:numId w:val="2"/>
        </w:numPr>
        <w:spacing w:after="100" w:line="300"/>
      </w:pPr>
      <w:r>
        <w:rPr>
          <w:rFonts w:ascii="Calibri" w:cs="Calibri" w:eastAsia="Calibri" w:hAnsi="Calibri"/>
          <w:color w:val="1F2A23"/>
          <w:sz w:val="22"/>
          <w:szCs w:val="22"/>
        </w:rPr>
        <w:t xml:space="preserve">Iterate on the schedule logic — particularly the deadline-handling and reserve-margin parameters — based on observed behaviour.</w:t>
      </w:r>
    </w:p>
    <w:p>
      <w:pPr>
        <w:pStyle w:val="Heading1"/>
        <w:spacing w:after="200" w:before="360"/>
      </w:pPr>
      <w:r>
        <w:rPr>
          <w:rFonts w:ascii="Calibri" w:cs="Calibri" w:eastAsia="Calibri" w:hAnsi="Calibri"/>
          <w:b/>
          <w:bCs/>
          <w:color w:val="3A6A36"/>
          <w:sz w:val="32"/>
          <w:szCs w:val="32"/>
        </w:rPr>
        <w:t xml:space="preserve">7. Known unknowns and risks</w:t>
      </w:r>
    </w:p>
    <w:p>
      <w:pPr>
        <w:pStyle w:val="Heading2"/>
        <w:spacing w:after="160" w:before="280"/>
      </w:pPr>
      <w:r>
        <w:rPr>
          <w:rFonts w:ascii="Calibri" w:cs="Calibri" w:eastAsia="Calibri" w:hAnsi="Calibri"/>
          <w:b/>
          <w:bCs/>
          <w:color w:val="1F2A23"/>
          <w:sz w:val="26"/>
          <w:szCs w:val="26"/>
        </w:rPr>
        <w:t xml:space="preserve">7.1 Retail-plan eligibility</w:t>
      </w:r>
    </w:p>
    <w:p>
      <w:pPr>
        <w:spacing w:after="140" w:before="0" w:line="300"/>
        <w:jc w:val="left"/>
      </w:pPr>
      <w:r>
        <w:rPr>
          <w:rFonts w:ascii="Calibri" w:cs="Calibri" w:eastAsia="Calibri" w:hAnsi="Calibri"/>
          <w:color w:val="1F2A23"/>
          <w:sz w:val="22"/>
          <w:szCs w:val="22"/>
        </w:rPr>
        <w:t xml:space="preserve">The product is most valuable for customers on wholesale-passthrough or time-of-use plans. Customers on flat-rate retail plans see no benefit from optimisation; charging at 3am is the same cost as charging at 6pm. The total addressable market in the short term is bounded by the customer base of pass-through retailers (Amber Electric is the largest; Energy Locals' Localvolts is another) and time-of-use customers across major retailers.</w:t>
      </w:r>
    </w:p>
    <w:p>
      <w:pPr>
        <w:pStyle w:val="Heading2"/>
        <w:spacing w:after="160" w:before="280"/>
      </w:pPr>
      <w:r>
        <w:rPr>
          <w:rFonts w:ascii="Calibri" w:cs="Calibri" w:eastAsia="Calibri" w:hAnsi="Calibri"/>
          <w:b/>
          <w:bCs/>
          <w:color w:val="1F2A23"/>
          <w:sz w:val="26"/>
          <w:szCs w:val="26"/>
        </w:rPr>
        <w:t xml:space="preserve">7.2 Forecast volatility and user trust</w:t>
      </w:r>
    </w:p>
    <w:p>
      <w:pPr>
        <w:spacing w:after="140" w:before="0" w:line="300"/>
        <w:jc w:val="left"/>
      </w:pPr>
      <w:r>
        <w:rPr>
          <w:rFonts w:ascii="Calibri" w:cs="Calibri" w:eastAsia="Calibri" w:hAnsi="Calibri"/>
          <w:color w:val="1F2A23"/>
          <w:sz w:val="22"/>
          <w:szCs w:val="22"/>
        </w:rPr>
        <w:t xml:space="preserve">On nights when actual prices diverge significantly from forecast — typically driven by unforeseen generator outages or weather events — the application may charge through intervals that turn out to be more expensive than alternatives that emerged later. Single bad-night experiences disproportionately damage user trust. Mitigations include transparent reporting (show users what the forecast said versus what actually happened), conservative deadline buffers, and the ability for the user to set a 'never pay more than X c/kWh' ceiling.</w:t>
      </w:r>
    </w:p>
    <w:p>
      <w:pPr>
        <w:pStyle w:val="Heading2"/>
        <w:spacing w:after="160" w:before="280"/>
      </w:pPr>
      <w:r>
        <w:rPr>
          <w:rFonts w:ascii="Calibri" w:cs="Calibri" w:eastAsia="Calibri" w:hAnsi="Calibri"/>
          <w:b/>
          <w:bCs/>
          <w:color w:val="1F2A23"/>
          <w:sz w:val="26"/>
          <w:szCs w:val="26"/>
        </w:rPr>
        <w:t xml:space="preserve">7.3 Consumer Data Right (CDR) accreditation</w:t>
      </w:r>
    </w:p>
    <w:p>
      <w:pPr>
        <w:spacing w:after="140" w:before="0" w:line="300"/>
        <w:jc w:val="left"/>
      </w:pPr>
      <w:r>
        <w:rPr>
          <w:rFonts w:ascii="Calibri" w:cs="Calibri" w:eastAsia="Calibri" w:hAnsi="Calibri"/>
          <w:color w:val="1F2A23"/>
          <w:sz w:val="22"/>
          <w:szCs w:val="22"/>
        </w:rPr>
        <w:t xml:space="preserve">Reading the user's interval consumption from their retailer via the CDR requires accreditation as a Data Recipient. Full unrestricted accreditation is a multi-month process with non-trivial cost. Lower tiers (sponsored, affiliate, trusted adviser) reduce the burden but introduce a partner dependency. For the initial product, CDR is not strictly required — the application can run on AEMO price data alone. CDR becomes valuable for plan-fit recommendations ("would you save more on Plan B?") and bill validation, which are v2 features.</w:t>
      </w:r>
    </w:p>
    <w:p>
      <w:pPr>
        <w:pStyle w:val="Heading2"/>
        <w:spacing w:after="160" w:before="280"/>
      </w:pPr>
      <w:r>
        <w:rPr>
          <w:rFonts w:ascii="Calibri" w:cs="Calibri" w:eastAsia="Calibri" w:hAnsi="Calibri"/>
          <w:b/>
          <w:bCs/>
          <w:color w:val="1F2A23"/>
          <w:sz w:val="26"/>
          <w:szCs w:val="26"/>
        </w:rPr>
        <w:t xml:space="preserve">7.4 The action-initiation horizon</w:t>
      </w:r>
    </w:p>
    <w:p>
      <w:pPr>
        <w:spacing w:after="140" w:before="0" w:line="300"/>
        <w:jc w:val="left"/>
      </w:pPr>
      <w:r>
        <w:rPr>
          <w:rFonts w:ascii="Calibri" w:cs="Calibri" w:eastAsia="Calibri" w:hAnsi="Calibri"/>
          <w:color w:val="1F2A23"/>
          <w:sz w:val="22"/>
          <w:szCs w:val="22"/>
        </w:rPr>
        <w:t xml:space="preserve">The federal government's CDR action-initiation amendments (passed 2024) will eventually allow accredited third parties to switch retailers on behalf of users, dramatically increasing the product surface area ("set and forget" energy management). The detailed energy-sector standards for action initiation are still in development. amped should be designed to be ready for this — modular architecture, retailer-agnostic data model — without depending on it for the launch product.</w:t>
      </w:r>
    </w:p>
    <w:p>
      <w:pPr>
        <w:pStyle w:val="Heading2"/>
        <w:spacing w:after="160" w:before="280"/>
      </w:pPr>
      <w:r>
        <w:rPr>
          <w:rFonts w:ascii="Calibri" w:cs="Calibri" w:eastAsia="Calibri" w:hAnsi="Calibri"/>
          <w:b/>
          <w:bCs/>
          <w:color w:val="1F2A23"/>
          <w:sz w:val="26"/>
          <w:szCs w:val="26"/>
        </w:rPr>
        <w:t xml:space="preserve">7.5 Competitive landscape</w:t>
      </w:r>
    </w:p>
    <w:p>
      <w:pPr>
        <w:spacing w:after="140" w:before="0" w:line="300"/>
        <w:jc w:val="left"/>
      </w:pPr>
      <w:r>
        <w:rPr>
          <w:rFonts w:ascii="Calibri" w:cs="Calibri" w:eastAsia="Calibri" w:hAnsi="Calibri"/>
          <w:color w:val="1F2A23"/>
          <w:sz w:val="22"/>
          <w:szCs w:val="22"/>
        </w:rPr>
        <w:t xml:space="preserve">Charge HQ is the closest established competitor in Australia and operates a similar concept. They have a vehicle-integration head start. Differentiation will need to come from one or more of: a sharper user experience, a broader integration matrix (particularly the long-tail of non-Tesla EVs), tighter retailer partnerships, or extension into adjacent loads (home batteries, hot water systems, pool pumps) — all of which use the same forecast and the same scheduling logic.</w:t>
      </w:r>
    </w:p>
    <w:p>
      <w:pPr>
        <w:pStyle w:val="Heading1"/>
        <w:spacing w:after="200" w:before="360"/>
      </w:pPr>
      <w:r>
        <w:rPr>
          <w:rFonts w:ascii="Calibri" w:cs="Calibri" w:eastAsia="Calibri" w:hAnsi="Calibri"/>
          <w:b/>
          <w:bCs/>
          <w:color w:val="3A6A36"/>
          <w:sz w:val="32"/>
          <w:szCs w:val="32"/>
        </w:rPr>
        <w:t xml:space="preserve">8. Recommended next steps</w:t>
      </w:r>
    </w:p>
    <w:p>
      <w:pPr>
        <w:pStyle w:val="ListParagraph"/>
        <w:numPr>
          <w:ilvl w:val="0"/>
          <w:numId w:val="2"/>
        </w:numPr>
        <w:spacing w:after="100" w:line="300"/>
      </w:pPr>
      <w:r>
        <w:rPr>
          <w:rFonts w:ascii="Calibri" w:cs="Calibri" w:eastAsia="Calibri" w:hAnsi="Calibri"/>
          <w:color w:val="1F2A23"/>
          <w:sz w:val="22"/>
          <w:szCs w:val="22"/>
        </w:rPr>
        <w:t xml:space="preserve">Validate the demo with five to ten EV-owning households on Amber. Confirm the savings claim resonates and identify the features they would actually use.</w:t>
      </w:r>
    </w:p>
    <w:p>
      <w:pPr>
        <w:pStyle w:val="ListParagraph"/>
        <w:numPr>
          <w:ilvl w:val="0"/>
          <w:numId w:val="2"/>
        </w:numPr>
        <w:spacing w:after="100" w:line="300"/>
      </w:pPr>
      <w:r>
        <w:rPr>
          <w:rFonts w:ascii="Calibri" w:cs="Calibri" w:eastAsia="Calibri" w:hAnsi="Calibri"/>
          <w:color w:val="1F2A23"/>
          <w:sz w:val="22"/>
          <w:szCs w:val="22"/>
        </w:rPr>
        <w:t xml:space="preserve">Build the AEMO ingestion service (Phase 1). This is the foundation of every subsequent feature and removes the single biggest piece of demo fiction.</w:t>
      </w:r>
    </w:p>
    <w:p>
      <w:pPr>
        <w:pStyle w:val="ListParagraph"/>
        <w:numPr>
          <w:ilvl w:val="0"/>
          <w:numId w:val="2"/>
        </w:numPr>
        <w:spacing w:after="100" w:line="300"/>
      </w:pPr>
      <w:r>
        <w:rPr>
          <w:rFonts w:ascii="Calibri" w:cs="Calibri" w:eastAsia="Calibri" w:hAnsi="Calibri"/>
          <w:color w:val="1F2A23"/>
          <w:sz w:val="22"/>
          <w:szCs w:val="22"/>
        </w:rPr>
        <w:t xml:space="preserve">Decide on the first vehicle integration: Tesla is the obvious default in Australia, but if the validated cohort skews toward non-Tesla vehicles, the smart-plug fallback may be the better Day 1 path.</w:t>
      </w:r>
    </w:p>
    <w:p>
      <w:pPr>
        <w:pStyle w:val="ListParagraph"/>
        <w:numPr>
          <w:ilvl w:val="0"/>
          <w:numId w:val="2"/>
        </w:numPr>
        <w:spacing w:after="100" w:line="300"/>
      </w:pPr>
      <w:r>
        <w:rPr>
          <w:rFonts w:ascii="Calibri" w:cs="Calibri" w:eastAsia="Calibri" w:hAnsi="Calibri"/>
          <w:color w:val="1F2A23"/>
          <w:sz w:val="22"/>
          <w:szCs w:val="22"/>
        </w:rPr>
        <w:t xml:space="preserve">Engage with Amber Electric directly. As the retailer whose customers benefit most, they are a natural distribution partner.</w:t>
      </w:r>
    </w:p>
    <w:p>
      <w:pPr>
        <w:spacing w:after="200" w:before="0" w:line="300"/>
        <w:jc w:val="left"/>
      </w:pPr>
      <w:r>
        <w:rPr>
          <w:rFonts w:ascii="Calibri" w:cs="Calibri" w:eastAsia="Calibri" w:hAnsi="Calibri"/>
          <w:color w:val="1F2A23"/>
          <w:sz w:val="22"/>
          <w:szCs w:val="22"/>
        </w:rPr>
        <w:t xml:space="preserve"/>
      </w:r>
    </w:p>
    <w:p>
      <w:pPr>
        <w:pBdr>
          <w:bottom w:val="single" w:color="3A6A36" w:sz="6" w:space="1"/>
        </w:pBdr>
        <w:spacing w:after="120" w:before="120"/>
      </w:pPr>
      <w:r>
        <w:t xml:space="preserve"/>
      </w:r>
    </w:p>
    <w:p>
      <w:pPr>
        <w:spacing w:after="140" w:before="0" w:line="300"/>
        <w:jc w:val="left"/>
      </w:pPr>
      <w:r>
        <w:rPr>
          <w:rFonts w:ascii="Calibri" w:cs="Calibri" w:eastAsia="Calibri" w:hAnsi="Calibri"/>
          <w:i/>
          <w:iCs/>
          <w:color w:val="8A958E"/>
          <w:sz w:val="20"/>
          <w:szCs w:val="20"/>
        </w:rPr>
        <w:t xml:space="preserve">Document version 0.1 — internal draft. Figures, modelling assumptions and timeline estimates will be refined as live data ingestion comes online and beta cohort behaviour is observed.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58E"/>
        <w:sz w:val="18"/>
        <w:szCs w:val="18"/>
      </w:rPr>
      <w:t xml:space="preserve">Page </w:t>
    </w:r>
    <w:r>
      <w:rPr>
        <w:rFonts w:ascii="Calibri" w:cs="Calibri" w:eastAsia="Calibri" w:hAnsi="Calibri"/>
        <w:color w:val="8A958E"/>
        <w:sz w:val="18"/>
        <w:szCs w:val="18"/>
      </w:rPr>
      <w:fldChar w:fldCharType="begin"/>
      <w:instrText xml:space="preserve">PAGE</w:instrText>
      <w:fldChar w:fldCharType="separate"/>
      <w:fldChar w:fldCharType="end"/>
    </w:r>
    <w:r>
      <w:rPr>
        <w:rFonts w:ascii="Calibri" w:cs="Calibri" w:eastAsia="Calibri" w:hAnsi="Calibri"/>
        <w:color w:val="8A958E"/>
        <w:sz w:val="18"/>
        <w:szCs w:val="18"/>
      </w:rPr>
      <w:t xml:space="preserve"> of </w:t>
    </w:r>
    <w:r>
      <w:rPr>
        <w:rFonts w:ascii="Calibri" w:cs="Calibri" w:eastAsia="Calibri" w:hAnsi="Calibri"/>
        <w:color w:val="8A958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i/>
        <w:iCs/>
        <w:color w:val="8A958E"/>
        <w:sz w:val="18"/>
        <w:szCs w:val="18"/>
      </w:rPr>
      <w:t xml:space="preserve">amped · MVP technical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A6A36"/>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2A23"/>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A6A3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amped MVP technical brief</dc:title>
  <dc:creator>amped</dc:creator>
  <dc:description>Concept, MVP scope, modelling, and build plan</dc:description>
  <cp:lastModifiedBy>Un-named</cp:lastModifiedBy>
  <cp:revision>1</cp:revision>
  <dcterms:created xsi:type="dcterms:W3CDTF">2026-05-13T05:56:28.809Z</dcterms:created>
  <dcterms:modified xsi:type="dcterms:W3CDTF">2026-05-13T05:56:28.810Z</dcterms:modified>
</cp:coreProperties>
</file>

<file path=docProps/custom.xml><?xml version="1.0" encoding="utf-8"?>
<Properties xmlns="http://schemas.openxmlformats.org/officeDocument/2006/custom-properties" xmlns:vt="http://schemas.openxmlformats.org/officeDocument/2006/docPropsVTypes"/>
</file>