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Template</w:t>
      </w:r>
      <w:r>
        <w:t xml:space="preserve"> </w:t>
      </w:r>
      <w:r>
        <w:t xml:space="preserve">manuscript</w:t>
      </w:r>
    </w:p>
    <w:p>
      <w:pPr>
        <w:pStyle w:val="Author"/>
      </w:pPr>
      <w:r>
        <w:t xml:space="preserve">Oscar</w:t>
      </w:r>
      <w:r>
        <w:t xml:space="preserve"> </w:t>
      </w:r>
      <w:r>
        <w:t xml:space="preserve">de</w:t>
      </w:r>
      <w:r>
        <w:t xml:space="preserve"> </w:t>
      </w:r>
      <w:r>
        <w:t xml:space="preserve">Grouche,</w:t>
      </w:r>
      <w:r>
        <w:t xml:space="preserve"> </w:t>
      </w:r>
      <w:r>
        <w:t xml:space="preserve">Jane</w:t>
      </w:r>
      <w:r>
        <w:t xml:space="preserve"> </w:t>
      </w:r>
      <w:r>
        <w:t xml:space="preserve">Doe</w:t>
      </w:r>
    </w:p>
    <w:p>
      <w:pPr>
        <w:pStyle w:val="Date"/>
      </w:pPr>
      <w:r>
        <w:t xml:space="preserve">April</w:t>
      </w:r>
      <w:r>
        <w:t xml:space="preserve"> </w:t>
      </w:r>
      <w:r>
        <w:t xml:space="preserve">15,</w:t>
      </w:r>
      <w:r>
        <w:t xml:space="preserve"> </w:t>
      </w:r>
      <w:r>
        <w:t xml:space="preserve">2017</w:t>
      </w:r>
    </w:p>
    <w:p>
      <w:pPr>
        <w:pStyle w:val="Heading1"/>
      </w:pPr>
      <w:bookmarkStart w:id="21" w:name="abstract"/>
      <w:bookmarkEnd w:id="21"/>
      <w:r>
        <w:t xml:space="preserve">Abstract</w:t>
      </w:r>
    </w:p>
    <w:p>
      <w:pPr>
        <w:pStyle w:val="FirstParagraph"/>
      </w:pPr>
      <w:r>
        <w:t xml:space="preserve">Abstract text would go here.</w:t>
      </w:r>
    </w:p>
    <w:p>
      <w:pPr>
        <w:pStyle w:val="Heading1"/>
      </w:pPr>
      <w:bookmarkStart w:id="22" w:name="introduction"/>
      <w:bookmarkEnd w:id="22"/>
      <w:r>
        <w:t xml:space="preserve">Introduction</w:t>
      </w:r>
    </w:p>
    <w:p>
      <w:pPr>
        <w:pStyle w:val="FirstParagraph"/>
      </w:pPr>
      <w:r>
        <w:t xml:space="preserve">This is an R Markdown document. Markdown is a simple formatting syntax for authoring HTML, PDF, and MS Word documents. For more details on using R Markdown see</w:t>
      </w:r>
      <w:r>
        <w:t xml:space="preserve"> </w:t>
      </w:r>
      <w:hyperlink r:id="rId23">
        <w:r>
          <w:rPr>
            <w:rStyle w:val="Hyperlink"/>
          </w:rPr>
          <w:t xml:space="preserve">http://rmarkdown.rstudio.com</w:t>
        </w:r>
      </w:hyperlink>
      <w:r>
        <w:t xml:space="preserve">.</w:t>
      </w:r>
    </w:p>
    <w:p>
      <w:pPr>
        <w:pStyle w:val="BodyText"/>
      </w:pPr>
      <w:r>
        <w:t xml:space="preserve">When you click the</w:t>
      </w:r>
      <w:r>
        <w:t xml:space="preserve"> </w:t>
      </w:r>
      <w:r>
        <w:rPr>
          <w:b/>
        </w:rPr>
        <w:t xml:space="preserve">Knit</w:t>
      </w:r>
      <w:r>
        <w:t xml:space="preserve"> </w:t>
      </w:r>
      <w:r>
        <w:t xml:space="preserve">button a document will be generated that includes both content as well as the output of any embedded R code chunks within the document. You can</w:t>
      </w:r>
      <w:r>
        <w:t xml:space="preserve"> </w:t>
      </w:r>
      <w:r>
        <w:rPr>
          <w:b/>
        </w:rPr>
        <w:t xml:space="preserve">Knit</w:t>
      </w:r>
      <w:r>
        <w:t xml:space="preserve"> </w:t>
      </w:r>
      <w:r>
        <w:t xml:space="preserve">to PDF or to Microsoft word, just chose the appropriate dropdown from the</w:t>
      </w:r>
      <w:r>
        <w:t xml:space="preserve"> </w:t>
      </w:r>
      <w:r>
        <w:rPr>
          <w:b/>
        </w:rPr>
        <w:t xml:space="preserve">Knit</w:t>
      </w:r>
      <w:r>
        <w:t xml:space="preserve"> </w:t>
      </w:r>
      <w:r>
        <w:t xml:space="preserve">button.</w:t>
      </w:r>
    </w:p>
    <w:p>
      <w:pPr>
        <w:pStyle w:val="Heading1"/>
      </w:pPr>
      <w:bookmarkStart w:id="24" w:name="methods"/>
      <w:bookmarkEnd w:id="24"/>
      <w:r>
        <w:t xml:space="preserve">Methods</w:t>
      </w:r>
    </w:p>
    <w:p>
      <w:pPr>
        <w:pStyle w:val="FirstParagraph"/>
      </w:pPr>
      <w:r>
        <w:t xml:space="preserve">You can make words</w:t>
      </w:r>
      <w:r>
        <w:t xml:space="preserve"> </w:t>
      </w:r>
      <w:r>
        <w:rPr>
          <w:b/>
        </w:rPr>
        <w:t xml:space="preserve">bold</w:t>
      </w:r>
      <w:r>
        <w:t xml:space="preserve"> </w:t>
      </w:r>
      <w:r>
        <w:t xml:space="preserve">with two asterisks,</w:t>
      </w:r>
      <w:r>
        <w:t xml:space="preserve"> </w:t>
      </w:r>
      <w:r>
        <w:rPr>
          <w:i/>
        </w:rPr>
        <w:t xml:space="preserve">italicized</w:t>
      </w:r>
      <w:r>
        <w:t xml:space="preserve"> </w:t>
      </w:r>
      <w:r>
        <w:t xml:space="preserve">with one.</w:t>
      </w:r>
    </w:p>
    <w:p>
      <w:pPr>
        <w:pStyle w:val="Heading2"/>
      </w:pPr>
      <w:bookmarkStart w:id="25" w:name="data"/>
      <w:bookmarkEnd w:id="25"/>
      <w:r>
        <w:t xml:space="preserve">Data</w:t>
      </w:r>
    </w:p>
    <w:p>
      <w:pPr>
        <w:pStyle w:val="FirstParagraph"/>
      </w:pPr>
      <w:r>
        <w:t xml:space="preserve">Hashtags denote a header, and the hierarchy is defined by the number of hashtags.</w:t>
      </w:r>
    </w:p>
    <w:p>
      <w:pPr>
        <w:pStyle w:val="Heading2"/>
      </w:pPr>
      <w:bookmarkStart w:id="26" w:name="statistical-analysis"/>
      <w:bookmarkEnd w:id="26"/>
      <w:r>
        <w:t xml:space="preserve">Statistical Analysis</w:t>
      </w:r>
    </w:p>
    <w:p>
      <w:pPr>
        <w:pStyle w:val="FirstParagraph"/>
      </w:pPr>
      <w:r>
        <w:t xml:space="preserve">To make a floating equation, use two dollar signs on either side:</w:t>
      </w:r>
    </w:p>
    <w:p>
      <w:pPr>
        <w:pStyle w:val="BodyText"/>
      </w:pPr>
      <m:oMathPara>
        <m:oMathParaPr>
          <m:jc m:val="center"/>
        </m:oMathParaPr>
        <m:oMath>
          <m:r>
            <m:rPr>
              <m:sty m:val="p"/>
            </m:rPr>
            <m:t>logit</m:t>
          </m:r>
          <m:r>
            <m:t>(</m:t>
          </m:r>
          <m:sSub>
            <m:e>
              <m:r>
                <m:t>g</m:t>
              </m:r>
            </m:e>
            <m:sub>
              <m:r>
                <m:t>l</m:t>
              </m:r>
            </m:sub>
          </m:sSub>
          <m:r>
            <m:t>)</m:t>
          </m:r>
          <m:r>
            <m:t>=</m:t>
          </m:r>
          <m:sSub>
            <m:e>
              <m:r>
                <m:t>β</m:t>
              </m:r>
            </m:e>
            <m:sub>
              <m:r>
                <m:t>0</m:t>
              </m:r>
              <m:r>
                <m:t>g</m:t>
              </m:r>
            </m:sub>
          </m:sSub>
          <m:r>
            <m:t>+</m:t>
          </m:r>
          <m:sSub>
            <m:e>
              <m:r>
                <m:t>β</m:t>
              </m:r>
            </m:e>
            <m:sub>
              <m:r>
                <m:t>1</m:t>
              </m:r>
              <m:r>
                <m:t>g</m:t>
              </m:r>
            </m:sub>
          </m:sSub>
          <m:sSub>
            <m:e>
              <m:r>
                <m:t>x</m:t>
              </m:r>
            </m:e>
            <m:sub>
              <m:r>
                <m:t>l</m:t>
              </m:r>
            </m:sub>
          </m:sSub>
          <m:r>
            <m:t>.</m:t>
          </m:r>
        </m:oMath>
      </m:oMathPara>
    </w:p>
    <w:p>
      <w:pPr>
        <w:pStyle w:val="FirstParagraph"/>
      </w:pPr>
      <w:r>
        <w:t xml:space="preserve">To make an in-line equation, use one dollar sign. As in this:</w:t>
      </w:r>
      <w:r>
        <w:t xml:space="preserve"> </w:t>
      </w:r>
      <m:oMath>
        <m:sSubSup>
          <m:e>
            <m:r>
              <m:t>α</m:t>
            </m:r>
          </m:e>
          <m:sub>
            <m:r>
              <m:t>γ</m:t>
            </m:r>
          </m:sub>
          <m:sup>
            <m:r>
              <m:t>2</m:t>
            </m:r>
          </m:sup>
        </m:sSubSup>
      </m:oMath>
      <w:r>
        <w:t xml:space="preserve"> </w:t>
      </w:r>
      <w:r>
        <w:t xml:space="preserve">for an example.</w:t>
      </w:r>
    </w:p>
    <w:p>
      <w:pPr>
        <w:pStyle w:val="BodyText"/>
      </w:pPr>
      <w:r>
        <w:t xml:space="preserve">To make an equation array that shows up in both Word and PDF, you can use the following format:</w:t>
      </w:r>
    </w:p>
    <w:p>
      <w:pPr>
        <w:pStyle w:val="BodyText"/>
      </w:pPr>
      <m:oMathPara>
        <m:oMathParaPr>
          <m:jc m:val="center"/>
        </m:oMathParaPr>
        <m:oMath>
          <m:m>
            <m:mPr>
              <m:baseJc m:val="center"/>
              <m:plcHide m:val="1"/>
              <m:mcs>
                <m:mc>
                  <m:mcPr>
                    <m:mcJc m:val="right"/>
                    <m:count m:val="1"/>
                  </m:mcPr>
                </m:mc>
                <m:mc>
                  <m:mcPr>
                    <m:mcJc m:val="left"/>
                    <m:count m:val="1"/>
                  </m:mcPr>
                </m:mc>
              </m:mcs>
            </m:mPr>
            <m:mr>
              <m:e>
                <m:r>
                  <m:t>R</m:t>
                </m:r>
              </m:e>
              <m:e>
                <m:r>
                  <m:t>=</m:t>
                </m:r>
                <m:r>
                  <m:rPr>
                    <m:sty m:val="p"/>
                  </m:rPr>
                  <m:t>the number of sightability trials (here </m:t>
                </m:r>
                <m:r>
                  <m:t>R</m:t>
                </m:r>
                <m:r>
                  <m:t>=</m:t>
                </m:r>
                <m:r>
                  <m:t>124</m:t>
                </m:r>
                <m:r>
                  <m:t>)</m:t>
                </m:r>
              </m:e>
            </m:mr>
            <m:mr>
              <m:e>
                <m:sSub>
                  <m:e>
                    <m:r>
                      <m:t>z</m:t>
                    </m:r>
                  </m:e>
                  <m:sub>
                    <m:r>
                      <m:t>l</m:t>
                    </m:r>
                  </m:sub>
                </m:sSub>
              </m:e>
              <m:e>
                <m:r>
                  <m:t>=</m:t>
                </m:r>
                <m:r>
                  <m:rPr>
                    <m:sty m:val="p"/>
                  </m:rPr>
                  <m:t>a random variable equal to 1 when the </m:t>
                </m:r>
                <m:r>
                  <m:t>l</m:t>
                </m:r>
                <m:r>
                  <m:rPr>
                    <m:sty m:val="p"/>
                  </m:rPr>
                  <m:t>th group is detected and 0 otherwise </m:t>
                </m:r>
                <m:r>
                  <m:t>(</m:t>
                </m:r>
                <m:r>
                  <m:t>l</m:t>
                </m:r>
                <m:r>
                  <m:t>=</m:t>
                </m:r>
                <m:r>
                  <m:t>1</m:t>
                </m:r>
                <m:r>
                  <m:t>,</m:t>
                </m:r>
                <m:r>
                  <m:t>2</m:t>
                </m:r>
                <m:r>
                  <m:t>,</m:t>
                </m:r>
                <m:r>
                  <m:t>…</m:t>
                </m:r>
                <m:r>
                  <m:t>,</m:t>
                </m:r>
                <m:r>
                  <m:t>R</m:t>
                </m:r>
                <m:r>
                  <m:t>)</m:t>
                </m:r>
              </m:e>
            </m:mr>
            <m:mr>
              <m:e>
                <m:sSub>
                  <m:e>
                    <m:r>
                      <m:t>x</m:t>
                    </m:r>
                  </m:e>
                  <m:sub>
                    <m:r>
                      <m:t>l</m:t>
                    </m:r>
                  </m:sub>
                </m:sSub>
              </m:e>
              <m:e>
                <m:r>
                  <m:t>=</m:t>
                </m:r>
                <m:r>
                  <m:rPr>
                    <m:sty m:val="p"/>
                  </m:rPr>
                  <m:t>the percent visual obstruction (from 0 to 1) associated with the </m:t>
                </m:r>
                <m:r>
                  <m:t>l</m:t>
                </m:r>
                <m:r>
                  <m:rPr>
                    <m:sty m:val="p"/>
                  </m:rPr>
                  <m:t>th group </m:t>
                </m:r>
                <m:r>
                  <m:t>(</m:t>
                </m:r>
                <m:r>
                  <m:t>l</m:t>
                </m:r>
                <m:r>
                  <m:t>=</m:t>
                </m:r>
                <m:r>
                  <m:t>1</m:t>
                </m:r>
                <m:r>
                  <m:t>,</m:t>
                </m:r>
                <m:r>
                  <m:t>2</m:t>
                </m:r>
                <m:r>
                  <m:t>,</m:t>
                </m:r>
                <m:r>
                  <m:t>…</m:t>
                </m:r>
                <m:r>
                  <m:t>,</m:t>
                </m:r>
                <m:r>
                  <m:t>R</m:t>
                </m:r>
                <m:r>
                  <m:t>)</m:t>
                </m:r>
              </m:e>
            </m:mr>
            <m:mr>
              <m:e>
                <m:sSub>
                  <m:e>
                    <m:r>
                      <m:t>g</m:t>
                    </m:r>
                  </m:e>
                  <m:sub>
                    <m:r>
                      <m:t>l</m:t>
                    </m:r>
                  </m:sub>
                </m:sSub>
              </m:e>
              <m:e>
                <m:r>
                  <m:t>=</m:t>
                </m:r>
                <m:r>
                  <m:rPr>
                    <m:sty m:val="p"/>
                  </m:rPr>
                  <m:t>the probability of detection of the </m:t>
                </m:r>
                <m:r>
                  <m:t>l</m:t>
                </m:r>
                <m:r>
                  <m:rPr>
                    <m:sty m:val="p"/>
                  </m:rPr>
                  <m:t>th group </m:t>
                </m:r>
                <m:r>
                  <m:t>(</m:t>
                </m:r>
                <m:r>
                  <m:t>l</m:t>
                </m:r>
                <m:r>
                  <m:t>=</m:t>
                </m:r>
                <m:r>
                  <m:t>1</m:t>
                </m:r>
                <m:r>
                  <m:t>,</m:t>
                </m:r>
                <m:r>
                  <m:t>2</m:t>
                </m:r>
                <m:r>
                  <m:t>,</m:t>
                </m:r>
                <m:r>
                  <m:t>…</m:t>
                </m:r>
                <m:r>
                  <m:t>,</m:t>
                </m:r>
                <m:r>
                  <m:t>R</m:t>
                </m:r>
                <m:r>
                  <m:t>)</m:t>
                </m:r>
              </m:e>
            </m:mr>
          </m:m>
        </m:oMath>
      </m:oMathPara>
    </w:p>
    <w:p>
      <w:pPr>
        <w:pStyle w:val="FirstParagraph"/>
      </w:pPr>
      <w:r>
        <w:t xml:space="preserve">Remember to put ampersands (&amp;) to align equations.</w:t>
      </w:r>
    </w:p>
    <w:p>
      <w:pPr>
        <w:pStyle w:val="Heading1"/>
      </w:pPr>
      <w:bookmarkStart w:id="27" w:name="results"/>
      <w:bookmarkEnd w:id="27"/>
      <w:r>
        <w:t xml:space="preserve">Results</w:t>
      </w:r>
    </w:p>
    <w:p>
      <w:pPr>
        <w:pStyle w:val="Heading2"/>
      </w:pPr>
      <w:bookmarkStart w:id="28" w:name="results-sub-section"/>
      <w:bookmarkEnd w:id="28"/>
      <w:r>
        <w:t xml:space="preserve">Results sub-section</w:t>
      </w:r>
    </w:p>
    <w:p>
      <w:pPr>
        <w:pStyle w:val="Heading1"/>
      </w:pPr>
      <w:bookmarkStart w:id="29" w:name="discussion"/>
      <w:bookmarkEnd w:id="29"/>
      <w:r>
        <w:t xml:space="preserve">Discussion</w:t>
      </w:r>
    </w:p>
    <w:p>
      <w:pPr>
        <w:pStyle w:val="FirstParagraph"/>
      </w:pPr>
      <w:r>
        <w:t xml:space="preserve">You can cite references using the</w:t>
      </w:r>
      <w:r>
        <w:t xml:space="preserve"> </w:t>
      </w:r>
      <w:r>
        <w:rPr>
          <w:b/>
        </w:rPr>
        <w:t xml:space="preserve">citr</w:t>
      </w:r>
      <w:r>
        <w:t xml:space="preserve"> </w:t>
      </w:r>
      <w:r>
        <w:t xml:space="preserve">add-in. With</w:t>
      </w:r>
      <w:r>
        <w:t xml:space="preserve"> </w:t>
      </w:r>
      <w:r>
        <w:rPr>
          <w:b/>
        </w:rPr>
        <w:t xml:space="preserve">citr</w:t>
      </w:r>
      <w:r>
        <w:t xml:space="preserve"> </w:t>
      </w:r>
      <w:r>
        <w:t xml:space="preserve">you can cite papers in line like</w:t>
      </w:r>
      <w:r>
        <w:t xml:space="preserve"> </w:t>
      </w:r>
      <w:r>
        <w:t xml:space="preserve">Fieberg and Guidice (2008)</w:t>
      </w:r>
      <w:r>
        <w:t xml:space="preserve"> </w:t>
      </w:r>
      <w:r>
        <w:t xml:space="preserve">is fond of doing, or parenthetically</w:t>
      </w:r>
      <w:r>
        <w:t xml:space="preserve"> </w:t>
      </w:r>
      <w:r>
        <w:t xml:space="preserve">(R Development Core Team 2014)</w:t>
      </w:r>
      <w:r>
        <w:t xml:space="preserve">. You can also cite multiple sources at once</w:t>
      </w:r>
      <w:r>
        <w:t xml:space="preserve"> </w:t>
      </w:r>
      <w:r>
        <w:t xml:space="preserve">(Fieberg and Guidice 2008, Plummer 2013, Buckland et al. 2015)</w:t>
      </w:r>
      <w:r>
        <w:t xml:space="preserve">. References can be added into the myrefs.bib file directly, or created with BibTeX through LaTeX.</w:t>
      </w:r>
    </w:p>
    <w:p>
      <w:pPr>
        <w:pStyle w:val="Heading1"/>
      </w:pPr>
      <w:bookmarkStart w:id="30" w:name="figures"/>
      <w:bookmarkEnd w:id="30"/>
      <w:r>
        <w:t xml:space="preserve">Figures</w:t>
      </w:r>
    </w:p>
    <w:p>
      <w:pPr>
        <w:pStyle w:val="FirstParagraph"/>
      </w:pPr>
      <w:r>
        <w:t xml:space="preserve">Figures can be included with the following code, but they must be in .png format to show up in both Word and PDF. They can be referenced for the PDF with Fig.</w:t>
      </w:r>
      <w:r>
        <w:t xml:space="preserve"> </w:t>
      </w:r>
      <w:r>
        <w:t xml:space="preserve">.</w:t>
      </w:r>
      <w:r>
        <w:t xml:space="preserve"> </w:t>
      </w:r>
      <w:r>
        <w:rPr>
          <w:i/>
        </w:rPr>
        <w:t xml:space="preserve">Unfortunately, I don't yet know how to make the reference number show up in Word.</w:t>
      </w:r>
    </w:p>
    <w:p>
      <w:pPr>
        <w:pStyle w:val="FigureWithCaption"/>
      </w:pPr>
      <w:r>
        <w:drawing>
          <wp:inline>
            <wp:extent cx="5334000" cy="4000499"/>
            <wp:effectExtent b="0" l="0" r="0" t="0"/>
            <wp:docPr descr="1. Example figure caption, which can include in-line equations like y = \alpha + \beta x and references like Fieberg and Guidice (2008). " id="1" name="Picture"/>
            <a:graphic>
              <a:graphicData uri="http://schemas.openxmlformats.org/drawingml/2006/picture">
                <pic:pic>
                  <pic:nvPicPr>
                    <pic:cNvPr descr="ms_figures/figure1.png" id="0" name="Picture"/>
                    <pic:cNvPicPr>
                      <a:picLocks noChangeArrowheads="1" noChangeAspect="1"/>
                    </pic:cNvPicPr>
                  </pic:nvPicPr>
                  <pic:blipFill>
                    <a:blip r:embed="rId31"/>
                    <a:stretch>
                      <a:fillRect/>
                    </a:stretch>
                  </pic:blipFill>
                  <pic:spPr bwMode="auto">
                    <a:xfrm>
                      <a:off x="0" y="0"/>
                      <a:ext cx="5334000" cy="4000499"/>
                    </a:xfrm>
                    <a:prstGeom prst="rect">
                      <a:avLst/>
                    </a:prstGeom>
                    <a:noFill/>
                    <a:ln w="9525">
                      <a:noFill/>
                      <a:headEnd/>
                      <a:tailEnd/>
                    </a:ln>
                  </pic:spPr>
                </pic:pic>
              </a:graphicData>
            </a:graphic>
          </wp:inline>
        </w:drawing>
      </w:r>
    </w:p>
    <w:p>
      <w:pPr>
        <w:pStyle w:val="ImageCaption"/>
      </w:pPr>
      <w:r>
        <w:t xml:space="preserve">1. Example figure caption, which can include in-line equations like</w:t>
      </w:r>
      <w:r>
        <w:t xml:space="preserve"> </w:t>
      </w:r>
      <m:oMath>
        <m:r>
          <m:t>y</m:t>
        </m:r>
        <m:r>
          <m:t>=</m:t>
        </m:r>
        <m:r>
          <m:t>α</m:t>
        </m:r>
        <m:r>
          <m:t>+</m:t>
        </m:r>
        <m:r>
          <m:t>β</m:t>
        </m:r>
        <m:r>
          <m:t>x</m:t>
        </m:r>
      </m:oMath>
      <w:r>
        <w:t xml:space="preserve"> </w:t>
      </w:r>
      <w:r>
        <w:t xml:space="preserve">and references like</w:t>
      </w:r>
      <w:r>
        <w:t xml:space="preserve"> </w:t>
      </w:r>
      <w:r>
        <w:t xml:space="preserve">Fieberg and Guidice (2008)</w:t>
      </w:r>
      <w:r>
        <w:t xml:space="preserve">.</w:t>
      </w:r>
      <w:r>
        <w:t xml:space="preserve"> </w:t>
      </w:r>
    </w:p>
    <w:p>
      <w:pPr>
        <w:pStyle w:val="Heading1"/>
      </w:pPr>
      <w:bookmarkStart w:id="32" w:name="references"/>
      <w:bookmarkEnd w:id="32"/>
      <w:r>
        <w:t xml:space="preserve">References</w:t>
      </w:r>
    </w:p>
    <w:p>
      <w:pPr>
        <w:pStyle w:val="Bibliography"/>
      </w:pPr>
      <w:r>
        <w:t xml:space="preserve">Buckland, S. T., E. A. Rexstad, T. A. Marques, and C. S. Oedekoven. 2015. Distance Sampling: Methods and Applications. Springer, Switzerland.</w:t>
      </w:r>
    </w:p>
    <w:p>
      <w:pPr>
        <w:pStyle w:val="Bibliography"/>
      </w:pPr>
      <w:r>
        <w:t xml:space="preserve">Fieberg, J. R., and J. H. Guidice. 2008. Variance of stratified survey estimators with probability of detection estimates. The Journal of Wildlife Management 72:837–844.</w:t>
      </w:r>
    </w:p>
    <w:p>
      <w:pPr>
        <w:pStyle w:val="Bibliography"/>
      </w:pPr>
      <w:r>
        <w:t xml:space="preserve">Plummer, M. 2013. JAGS Version 3.4.0 user manual.</w:t>
      </w:r>
    </w:p>
    <w:p>
      <w:pPr>
        <w:pStyle w:val="Bibliography"/>
      </w:pPr>
      <w:r>
        <w:t xml:space="preserve">R Development Core Team. 2014. R: A Language and Environment for Statistical Computing. R Foundation for Statistical Computing, Vienna, Austria.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a1c5e9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hyperlink" Id="rId23" Target="http://rmarkdown.rstudio.com" TargetMode="External" /></Relationships>
</file>

<file path=word/_rels/footnotes.xml.rels><?xml version="1.0" encoding="UTF-8"?>
<Relationships xmlns="http://schemas.openxmlformats.org/package/2006/relationships"><Relationship Type="http://schemas.openxmlformats.org/officeDocument/2006/relationships/hyperlink" Id="rId23"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manuscript</dc:title>
  <dc:creator>Oscar de Grouche, Jane Doe</dc:creator>
  <dcterms:created xsi:type="dcterms:W3CDTF">2017-04-15T07:26:59Z</dcterms:created>
  <dcterms:modified xsi:type="dcterms:W3CDTF">2017-04-15T07:26:59Z</dcterms:modified>
</cp:coreProperties>
</file>