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Ressource pratique — document de travail à adapter</w:t>
      </w:r>
    </w:p>
    <w:p>
      <w:pPr>
        <w:pBdr>
          <w:bottom w:val="single" w:sz="6" w:space="1" w:color="E63948"/>
        </w:pBdr>
        <w:spacing w:after="80"/>
      </w:pPr>
    </w:p>
    <w:p>
      <w:pPr>
        <w:spacing w:before="120" w:after="200"/>
      </w:pPr>
      <w:r>
        <w:rPr>
          <w:i/>
          <w:color w:val="8B5010"/>
          <w:sz w:val="17"/>
        </w:rPr>
        <w:t>⚠  DOCUMENT DE TRAVAIL — À ADAPTER À VOTRE CONTEXTE</w:t>
        <w:br/>
        <w:t>Ce document est une aide pratique éducative. Il ne constitue pas un avis juridique et ne garantit pas la conformité légale de votre procédure. Avant tout usage dans une procédure réelle, faites-le valider par une personne compétente en marchés publics (juriste, conseiller juridique, bailleur de fonds). marchépublic.be est un outil indépendant — non affilié à une autorité publique belge.</w:t>
      </w:r>
    </w:p>
    <w:p>
      <w:pPr>
        <w:spacing w:before="80" w:after="80"/>
      </w:pPr>
      <w:r>
        <w:rPr>
          <w:b/>
          <w:color w:val="2E2348"/>
          <w:sz w:val="40"/>
        </w:rPr>
        <w:t>ASBL subsidiée — Quelles obligations d'achat vérifier ?</w:t>
      </w:r>
    </w:p>
    <w:p>
      <w:pPr>
        <w:spacing w:after="280"/>
      </w:pPr>
      <w:r>
        <w:rPr>
          <w:color w:val="5E6B7D"/>
          <w:sz w:val="22"/>
        </w:rPr>
        <w:t>Les points à contrôler dans vos conventions de subvention avant de choisir un prestataire.</w:t>
      </w:r>
    </w:p>
    <w:p>
      <w:pPr>
        <w:spacing w:before="280" w:after="120"/>
        <w:pBdr>
          <w:left w:val="single" w:sz="12" w:space="6" w:color="E63948"/>
        </w:pBdr>
      </w:pPr>
      <w:r>
        <w:rPr>
          <w:b/>
          <w:color w:val="2E2348"/>
          <w:sz w:val="26"/>
        </w:rPr>
        <w:t>Trois sources d'obligations possibles</w:t>
      </w:r>
    </w:p>
    <w:p>
      <w:pPr>
        <w:pStyle w:val="ListBullet"/>
        <w:spacing w:after="60"/>
      </w:pPr>
      <w:r>
        <w:rPr>
          <w:color w:val="302840"/>
          <w:sz w:val="20"/>
        </w:rPr>
        <w:t>•  1. La loi du 17 juin 2016 sur les marchés publics — si vous êtes qualifié·e de pouvoir adjudicateur.</w:t>
      </w:r>
    </w:p>
    <w:p>
      <w:pPr>
        <w:pStyle w:val="ListBullet"/>
        <w:spacing w:after="60"/>
      </w:pPr>
      <w:r>
        <w:rPr>
          <w:color w:val="302840"/>
          <w:sz w:val="20"/>
        </w:rPr>
        <w:t>•  2. Votre convention de subvention — certains bailleurs imposent contractuellement des règles de mise en concurrence.</w:t>
      </w:r>
    </w:p>
    <w:p>
      <w:pPr>
        <w:pStyle w:val="ListBullet"/>
        <w:spacing w:after="60"/>
      </w:pPr>
      <w:r>
        <w:rPr>
          <w:color w:val="302840"/>
          <w:sz w:val="20"/>
        </w:rPr>
        <w:t>•  3. Les règlements internes de votre bailleur — certains subsidiant ont leurs propres procédures.</w:t>
      </w:r>
    </w:p>
    <w:p>
      <w:pPr>
        <w:spacing w:after="120"/>
      </w:pPr>
      <w:r>
        <w:rPr>
          <w:color w:val="302840"/>
          <w:sz w:val="21"/>
        </w:rPr>
        <w:t>Ces trois sources sont indépendantes : vous pouvez être soumis à l'une sans l'être aux autres. Dans le doute, vérifiez les trois.</w:t>
      </w:r>
    </w:p>
    <w:p>
      <w:pPr>
        <w:spacing w:before="280" w:after="120"/>
        <w:pBdr>
          <w:left w:val="single" w:sz="12" w:space="6" w:color="E63948"/>
        </w:pBdr>
      </w:pPr>
      <w:r>
        <w:rPr>
          <w:b/>
          <w:color w:val="2E2348"/>
          <w:sz w:val="26"/>
        </w:rPr>
        <w:t>Ce que vous devez lire dans votre convention</w:t>
      </w:r>
    </w:p>
    <w:p>
      <w:pPr>
        <w:pStyle w:val="ListBullet"/>
        <w:spacing w:after="60"/>
      </w:pPr>
      <w:r>
        <w:rPr>
          <w:color w:val="302840"/>
          <w:sz w:val="20"/>
        </w:rPr>
        <w:t>•  Y a-t-il une clause mentionnant 'marchés publics', 'mise en concurrence' ou 'appel d'offres' ?</w:t>
      </w:r>
    </w:p>
    <w:p>
      <w:pPr>
        <w:pStyle w:val="ListBullet"/>
        <w:spacing w:after="60"/>
      </w:pPr>
      <w:r>
        <w:rPr>
          <w:color w:val="302840"/>
          <w:sz w:val="20"/>
        </w:rPr>
        <w:t>•  Y a-t-il un montant seuil au-delà duquel une procédure formelle est requise ?</w:t>
      </w:r>
    </w:p>
    <w:p>
      <w:pPr>
        <w:pStyle w:val="ListBullet"/>
        <w:spacing w:after="60"/>
      </w:pPr>
      <w:r>
        <w:rPr>
          <w:color w:val="302840"/>
          <w:sz w:val="20"/>
        </w:rPr>
        <w:t>•  Le bailleur impose-t-il un nombre minimum de devis ?</w:t>
      </w:r>
    </w:p>
    <w:p>
      <w:pPr>
        <w:pStyle w:val="ListBullet"/>
        <w:spacing w:after="60"/>
      </w:pPr>
      <w:r>
        <w:rPr>
          <w:color w:val="302840"/>
          <w:sz w:val="20"/>
        </w:rPr>
        <w:t>•  Y a-t-il une obligation de conserver et transmettre les pièces justificatives ?</w:t>
      </w:r>
    </w:p>
    <w:p>
      <w:pPr>
        <w:pStyle w:val="ListBullet"/>
        <w:spacing w:after="60"/>
      </w:pPr>
      <w:r>
        <w:rPr>
          <w:color w:val="302840"/>
          <w:sz w:val="20"/>
        </w:rPr>
        <w:t>•  Le bailleur doit-il approuver le choix du prestataire à l'avance ?</w:t>
      </w:r>
    </w:p>
    <w:p>
      <w:pPr>
        <w:spacing w:before="280" w:after="120"/>
        <w:pBdr>
          <w:left w:val="single" w:sz="12" w:space="6" w:color="E63948"/>
        </w:pBdr>
      </w:pPr>
      <w:r>
        <w:rPr>
          <w:b/>
          <w:color w:val="2E2348"/>
          <w:sz w:val="26"/>
        </w:rPr>
        <w:t>Checklist de vérification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2348"/>
          </w:tcPr>
          <w:p>
            <w:r>
              <w:rPr>
                <w:b/>
                <w:color w:val="FFFFFF"/>
                <w:sz w:val="18"/>
              </w:rPr>
              <w:t>Point à vérifier</w:t>
            </w:r>
          </w:p>
        </w:tc>
        <w:tc>
          <w:tcPr>
            <w:tcW w:type="dxa" w:w="2351"/>
            <w:shd w:val="clear" w:color="auto" w:fill="2E2348"/>
          </w:tcPr>
          <w:p>
            <w:r>
              <w:rPr>
                <w:b/>
                <w:color w:val="FFFFFF"/>
                <w:sz w:val="18"/>
              </w:rPr>
              <w:t>Oui</w:t>
            </w:r>
          </w:p>
        </w:tc>
        <w:tc>
          <w:tcPr>
            <w:tcW w:type="dxa" w:w="2351"/>
            <w:shd w:val="clear" w:color="auto" w:fill="2E2348"/>
          </w:tcPr>
          <w:p>
            <w:r>
              <w:rPr>
                <w:b/>
                <w:color w:val="FFFFFF"/>
                <w:sz w:val="18"/>
              </w:rPr>
              <w:t>Non</w:t>
            </w:r>
          </w:p>
        </w:tc>
        <w:tc>
          <w:tcPr>
            <w:tcW w:type="dxa" w:w="2351"/>
            <w:shd w:val="clear" w:color="auto" w:fill="2E2348"/>
          </w:tcPr>
          <w:p>
            <w:r>
              <w:rPr>
                <w:b/>
                <w:color w:val="FFFFFF"/>
                <w:sz w:val="18"/>
              </w:rPr>
              <w:t>À clarifier</w:t>
            </w:r>
          </w:p>
        </w:tc>
      </w:tr>
      <w:tr>
        <w:tc>
          <w:tcPr>
            <w:tcW w:type="dxa" w:w="2351"/>
          </w:tcPr>
          <w:p>
            <w:r>
              <w:rPr>
                <w:sz w:val="18"/>
              </w:rPr>
              <w:t>Convention lue intégralement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Clause marché public identifiée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Seuil de mise en concurrence noté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Nombre de devis requis connu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Pièces à conserver listées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Approbation préalable du bailleur requise ?</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Règlements internes du bailleur consultés ?</w:t>
            </w:r>
          </w:p>
        </w:tc>
        <w:tc>
          <w:tcPr>
            <w:tcW w:type="dxa" w:w="2351"/>
          </w:tcPr>
          <w:p>
            <w:r>
              <w:rPr>
                <w:sz w:val="18"/>
              </w:rPr>
            </w:r>
          </w:p>
        </w:tc>
        <w:tc>
          <w:tcPr>
            <w:tcW w:type="dxa" w:w="2351"/>
          </w:tcPr>
          <w:p>
            <w:r>
              <w:rPr>
                <w:sz w:val="18"/>
              </w:rPr>
            </w:r>
          </w:p>
        </w:tc>
        <w:tc>
          <w:tcPr>
            <w:tcW w:type="dxa" w:w="2351"/>
          </w:tcPr>
          <w:p>
            <w:r>
              <w:rPr>
                <w:sz w:val="18"/>
              </w:rPr>
            </w:r>
          </w:p>
        </w:tc>
      </w:tr>
    </w:tbl>
    <w:p/>
    <w:p>
      <w:pPr>
        <w:spacing w:before="280" w:after="120"/>
        <w:pBdr>
          <w:left w:val="single" w:sz="12" w:space="6" w:color="E63948"/>
        </w:pBdr>
      </w:pPr>
      <w:r>
        <w:rPr>
          <w:b/>
          <w:color w:val="2E2348"/>
          <w:sz w:val="26"/>
        </w:rPr>
        <w:t>Si vous ne trouvez pas la réponse dans la convention</w:t>
      </w:r>
    </w:p>
    <w:p>
      <w:pPr>
        <w:pStyle w:val="ListBullet"/>
        <w:spacing w:after="60"/>
      </w:pPr>
      <w:r>
        <w:rPr>
          <w:color w:val="302840"/>
          <w:sz w:val="20"/>
        </w:rPr>
        <w:t>•  Contactez votre chargé·e de dossier chez le bailleur de fonds.</w:t>
      </w:r>
    </w:p>
    <w:p>
      <w:pPr>
        <w:pStyle w:val="ListBullet"/>
        <w:spacing w:after="60"/>
      </w:pPr>
      <w:r>
        <w:rPr>
          <w:color w:val="302840"/>
          <w:sz w:val="20"/>
        </w:rPr>
        <w:t>•  Demandez une clarification par écrit (mail) et conservez la réponse.</w:t>
      </w:r>
    </w:p>
    <w:p>
      <w:pPr>
        <w:pStyle w:val="ListBullet"/>
        <w:spacing w:after="60"/>
      </w:pPr>
      <w:r>
        <w:rPr>
          <w:color w:val="302840"/>
          <w:sz w:val="20"/>
        </w:rPr>
        <w:t>•  En l'absence de réponse claire, appliquez le principe de précaution : procédez à une mise en concurrence documentée.</w:t>
      </w:r>
    </w:p>
    <w:p>
      <w:pPr>
        <w:spacing w:before="280" w:after="120"/>
        <w:pBdr>
          <w:left w:val="single" w:sz="12" w:space="6" w:color="E63948"/>
        </w:pBdr>
      </w:pPr>
      <w:r>
        <w:rPr>
          <w:b/>
          <w:color w:val="2E2348"/>
          <w:sz w:val="26"/>
        </w:rPr>
        <w:t>Ce que vous devez conserver dans votre dossier de subvention</w:t>
      </w:r>
    </w:p>
    <w:p>
      <w:pPr>
        <w:pStyle w:val="ListBullet"/>
        <w:spacing w:after="60"/>
      </w:pPr>
      <w:r>
        <w:rPr>
          <w:color w:val="302840"/>
          <w:sz w:val="20"/>
        </w:rPr>
        <w:t>☐  La convention de subvention signée.</w:t>
      </w:r>
    </w:p>
    <w:p>
      <w:pPr>
        <w:pStyle w:val="ListBullet"/>
        <w:spacing w:after="60"/>
      </w:pPr>
      <w:r>
        <w:rPr>
          <w:color w:val="302840"/>
          <w:sz w:val="20"/>
        </w:rPr>
        <w:t>☐  Les offres reçues (minimum 3 si exigé).</w:t>
      </w:r>
    </w:p>
    <w:p>
      <w:pPr>
        <w:pStyle w:val="ListBullet"/>
        <w:spacing w:after="60"/>
      </w:pPr>
      <w:r>
        <w:rPr>
          <w:color w:val="302840"/>
          <w:sz w:val="20"/>
        </w:rPr>
        <w:t>☐  Le tableau comparatif des offres.</w:t>
      </w:r>
    </w:p>
    <w:p>
      <w:pPr>
        <w:pStyle w:val="ListBullet"/>
        <w:spacing w:after="60"/>
      </w:pPr>
      <w:r>
        <w:rPr>
          <w:color w:val="302840"/>
          <w:sz w:val="20"/>
        </w:rPr>
        <w:t>☐  La justification du choix retenu.</w:t>
      </w:r>
    </w:p>
    <w:p>
      <w:pPr>
        <w:pStyle w:val="ListBullet"/>
        <w:spacing w:after="60"/>
      </w:pPr>
      <w:r>
        <w:rPr>
          <w:color w:val="302840"/>
          <w:sz w:val="20"/>
        </w:rPr>
        <w:t>☐  Le contrat avec le prestataire.</w:t>
      </w:r>
    </w:p>
    <w:p>
      <w:pPr>
        <w:pStyle w:val="ListBullet"/>
        <w:spacing w:after="60"/>
      </w:pPr>
      <w:r>
        <w:rPr>
          <w:color w:val="302840"/>
          <w:sz w:val="20"/>
        </w:rPr>
        <w:t>☐  Les factures et preuves de paiement.</w:t>
      </w:r>
    </w:p>
    <w:p>
      <w:pPr>
        <w:pStyle w:val="ListBullet"/>
        <w:spacing w:after="60"/>
      </w:pPr>
      <w:r>
        <w:rPr>
          <w:color w:val="302840"/>
          <w:sz w:val="20"/>
        </w:rPr>
        <w:t>☐  Toute correspondance avec le bailleur sur les achats.</w:t>
      </w:r>
    </w:p>
    <w:p/>
    <w:p>
      <w:pPr>
        <w:pBdr>
          <w:top w:val="single" w:sz="4" w:space="1" w:color="E4D9CC"/>
        </w:pBdr>
      </w:pPr>
      <w:r>
        <w:rPr>
          <w:i/>
          <w:color w:val="5E6B7D"/>
          <w:sz w:val="16"/>
        </w:rPr>
        <w:t>⚠  Avertissement — Ce document est fourni à titre éducatif et pratique uniquement. Il ne constitue pas un avis juridique. Il ne garantit pas la conformité de votre procédure avec la législation applicable. Adaptez-le impérativement à votre contexte avant tout usage réel. À faire valider par une personne compétente avant usage dans une procédure réelle. marchépublic.be est un outil indépendant — non affilié à une autorité publique belge.</w:t>
        <w:br/>
        <w:t>Sources officielles à consulter : BOSA (bosa.belgium.be) · e-Procurement (publicprocurement.be) · SPF Économie (economie.fgov.be) · Marchés publics Wallonie (marchespublics.wallonie.be) · Règlement général UE 2016/679 (RGPD) pour les données personnelles.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