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E63948"/>
          <w:sz w:val="28"/>
        </w:rPr>
        <w:t>marchépublic.be</w:t>
      </w:r>
      <w:r>
        <w:rPr>
          <w:color w:val="5E6B7D"/>
          <w:sz w:val="18"/>
        </w:rPr>
        <w:t xml:space="preserve">  ·  Ressource pratique — document de travail à adapter</w:t>
      </w:r>
    </w:p>
    <w:p>
      <w:pPr>
        <w:pBdr>
          <w:bottom w:val="single" w:sz="6" w:space="1" w:color="E63948"/>
        </w:pBdr>
        <w:spacing w:after="80"/>
      </w:pPr>
    </w:p>
    <w:p>
      <w:pPr>
        <w:spacing w:before="120" w:after="200"/>
      </w:pPr>
      <w:r>
        <w:rPr>
          <w:i/>
          <w:color w:val="8B5010"/>
          <w:sz w:val="17"/>
        </w:rPr>
        <w:t>⚠  DOCUMENT DE TRAVAIL — À ADAPTER À VOTRE CONTEXTE</w:t>
        <w:br/>
        <w:t>Ce document est une aide pratique éducative. Il ne constitue pas un avis juridique et ne garantit pas la conformité légale de votre procédure. Avant tout usage dans une procédure réelle, faites-le valider par une personne compétente en marchés publics (juriste, conseiller juridique, bailleur de fonds). marchépublic.be est un outil indépendant — non affilié à une autorité publique belge.</w:t>
      </w:r>
    </w:p>
    <w:p>
      <w:pPr>
        <w:spacing w:before="80" w:after="80"/>
      </w:pPr>
      <w:r>
        <w:rPr>
          <w:b/>
          <w:color w:val="2E2348"/>
          <w:sz w:val="40"/>
        </w:rPr>
        <w:t>Au-delà de 30 000 € HTVA — Que faire ?</w:t>
      </w:r>
    </w:p>
    <w:p>
      <w:pPr>
        <w:spacing w:after="280"/>
      </w:pPr>
      <w:r>
        <w:rPr>
          <w:color w:val="5E6B7D"/>
          <w:sz w:val="22"/>
        </w:rPr>
        <w:t>Les procédures qui se déclenchent au-delà du seuil et comment les aborder sereinement.</w:t>
      </w:r>
    </w:p>
    <w:p>
      <w:pPr>
        <w:spacing w:before="280" w:after="120"/>
        <w:pBdr>
          <w:left w:val="single" w:sz="12" w:space="6" w:color="E63948"/>
        </w:pBdr>
      </w:pPr>
      <w:r>
        <w:rPr>
          <w:b/>
          <w:color w:val="2E2348"/>
          <w:sz w:val="26"/>
        </w:rPr>
        <w:t>Tableau des seuils (fournitures et services)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2E2348"/>
          </w:tcPr>
          <w:p>
            <w:r>
              <w:rPr>
                <w:b/>
                <w:color w:val="FFFFFF"/>
                <w:sz w:val="18"/>
              </w:rPr>
              <w:t>Montant estimé HTVA</w:t>
            </w:r>
          </w:p>
        </w:tc>
        <w:tc>
          <w:tcPr>
            <w:tcW w:type="dxa" w:w="3135"/>
            <w:shd w:val="clear" w:color="auto" w:fill="2E2348"/>
          </w:tcPr>
          <w:p>
            <w:r>
              <w:rPr>
                <w:b/>
                <w:color w:val="FFFFFF"/>
                <w:sz w:val="18"/>
              </w:rPr>
              <w:t>Régime applicable</w:t>
            </w:r>
          </w:p>
        </w:tc>
        <w:tc>
          <w:tcPr>
            <w:tcW w:type="dxa" w:w="3135"/>
            <w:shd w:val="clear" w:color="auto" w:fill="2E2348"/>
          </w:tcPr>
          <w:p>
            <w:r>
              <w:rPr>
                <w:b/>
                <w:color w:val="FFFFFF"/>
                <w:sz w:val="18"/>
              </w:rPr>
              <w:t>Publication requise</w:t>
            </w:r>
          </w:p>
        </w:tc>
      </w:tr>
      <w:tr>
        <w:tc>
          <w:tcPr>
            <w:tcW w:type="dxa" w:w="3135"/>
          </w:tcPr>
          <w:p>
            <w:r>
              <w:rPr>
                <w:sz w:val="18"/>
              </w:rPr>
              <w:t>&lt; 30 000 €</w:t>
            </w:r>
          </w:p>
        </w:tc>
        <w:tc>
          <w:tcPr>
            <w:tcW w:type="dxa" w:w="3135"/>
          </w:tcPr>
          <w:p>
            <w:r>
              <w:rPr>
                <w:sz w:val="18"/>
              </w:rPr>
              <w:t>Régime allégé — 3 devis recommandés</w:t>
            </w:r>
          </w:p>
        </w:tc>
        <w:tc>
          <w:tcPr>
            <w:tcW w:type="dxa" w:w="3135"/>
          </w:tcPr>
          <w:p>
            <w:r>
              <w:rPr>
                <w:sz w:val="18"/>
              </w:rPr>
              <w:t>Non</w:t>
            </w:r>
          </w:p>
        </w:tc>
      </w:tr>
      <w:tr>
        <w:tc>
          <w:tcPr>
            <w:tcW w:type="dxa" w:w="3135"/>
          </w:tcPr>
          <w:p>
            <w:r>
              <w:rPr>
                <w:sz w:val="18"/>
              </w:rPr>
              <w:t>30 000 € – 143 000 €</w:t>
            </w:r>
          </w:p>
        </w:tc>
        <w:tc>
          <w:tcPr>
            <w:tcW w:type="dxa" w:w="3135"/>
          </w:tcPr>
          <w:p>
            <w:r>
              <w:rPr>
                <w:sz w:val="18"/>
              </w:rPr>
              <w:t>Procédure négociée sans publication</w:t>
            </w:r>
          </w:p>
        </w:tc>
        <w:tc>
          <w:tcPr>
            <w:tcW w:type="dxa" w:w="3135"/>
          </w:tcPr>
          <w:p>
            <w:r>
              <w:rPr>
                <w:sz w:val="18"/>
              </w:rPr>
              <w:t>Non (facultatif)</w:t>
            </w:r>
          </w:p>
        </w:tc>
      </w:tr>
      <w:tr>
        <w:tc>
          <w:tcPr>
            <w:tcW w:type="dxa" w:w="3135"/>
          </w:tcPr>
          <w:p>
            <w:r>
              <w:rPr>
                <w:sz w:val="18"/>
              </w:rPr>
              <w:t>143 000 € – 221 000 €</w:t>
            </w:r>
          </w:p>
        </w:tc>
        <w:tc>
          <w:tcPr>
            <w:tcW w:type="dxa" w:w="3135"/>
          </w:tcPr>
          <w:p>
            <w:r>
              <w:rPr>
                <w:sz w:val="18"/>
              </w:rPr>
              <w:t>Procédure négociée avec publication</w:t>
            </w:r>
          </w:p>
        </w:tc>
        <w:tc>
          <w:tcPr>
            <w:tcW w:type="dxa" w:w="3135"/>
          </w:tcPr>
          <w:p>
            <w:r>
              <w:rPr>
                <w:sz w:val="18"/>
              </w:rPr>
              <w:t>e-Procurement</w:t>
            </w:r>
          </w:p>
        </w:tc>
      </w:tr>
      <w:tr>
        <w:tc>
          <w:tcPr>
            <w:tcW w:type="dxa" w:w="3135"/>
          </w:tcPr>
          <w:p>
            <w:r>
              <w:rPr>
                <w:sz w:val="18"/>
              </w:rPr>
              <w:t>&gt; 221 000 €</w:t>
            </w:r>
          </w:p>
        </w:tc>
        <w:tc>
          <w:tcPr>
            <w:tcW w:type="dxa" w:w="3135"/>
          </w:tcPr>
          <w:p>
            <w:r>
              <w:rPr>
                <w:sz w:val="18"/>
              </w:rPr>
              <w:t>Procédure ouverte (appel d'offres)</w:t>
            </w:r>
          </w:p>
        </w:tc>
        <w:tc>
          <w:tcPr>
            <w:tcW w:type="dxa" w:w="3135"/>
          </w:tcPr>
          <w:p>
            <w:r>
              <w:rPr>
                <w:sz w:val="18"/>
              </w:rPr>
              <w:t>e-Procurement + JOUE</w:t>
            </w:r>
          </w:p>
        </w:tc>
      </w:tr>
    </w:tbl>
    <w:p/>
    <w:p>
      <w:pPr>
        <w:spacing w:after="120"/>
      </w:pPr>
      <w:r>
        <w:rPr>
          <w:color w:val="302840"/>
          <w:sz w:val="21"/>
        </w:rPr>
        <w:t>Note : pour les marchés de travaux, les seuils sont différents (seuil européen à 5 382 000 €). Ces montants peuvent être révisés. Vérifiez les seuils actuels sur bosa.belgium.be avant toute procédure.</w:t>
      </w:r>
    </w:p>
    <w:p>
      <w:pPr>
        <w:spacing w:before="280" w:after="120"/>
        <w:pBdr>
          <w:left w:val="single" w:sz="12" w:space="6" w:color="E63948"/>
        </w:pBdr>
      </w:pPr>
      <w:r>
        <w:rPr>
          <w:b/>
          <w:color w:val="2E2348"/>
          <w:sz w:val="26"/>
        </w:rPr>
        <w:t>Procédure négociée sans publication (30k–143k €)</w:t>
      </w:r>
    </w:p>
    <w:p>
      <w:pPr>
        <w:spacing w:after="120"/>
      </w:pPr>
      <w:r>
        <w:rPr>
          <w:color w:val="302840"/>
          <w:sz w:val="21"/>
        </w:rPr>
        <w:t>C'est la procédure la plus fréquente pour les ASBL soumises aux règles. Elle comprend :</w:t>
      </w:r>
    </w:p>
    <w:p>
      <w:pPr>
        <w:pStyle w:val="ListBullet"/>
        <w:spacing w:after="60"/>
      </w:pPr>
      <w:r>
        <w:rPr>
          <w:color w:val="302840"/>
          <w:sz w:val="20"/>
        </w:rPr>
        <w:t>•  Rédaction d'un cahier des charges simplifié (description du besoin, critères d'attribution).</w:t>
      </w:r>
    </w:p>
    <w:p>
      <w:pPr>
        <w:pStyle w:val="ListBullet"/>
        <w:spacing w:after="60"/>
      </w:pPr>
      <w:r>
        <w:rPr>
          <w:color w:val="302840"/>
          <w:sz w:val="20"/>
        </w:rPr>
        <w:t>•  Invitation d'au minimum 3 prestataires à remettre une offre.</w:t>
      </w:r>
    </w:p>
    <w:p>
      <w:pPr>
        <w:pStyle w:val="ListBullet"/>
        <w:spacing w:after="60"/>
      </w:pPr>
      <w:r>
        <w:rPr>
          <w:color w:val="302840"/>
          <w:sz w:val="20"/>
        </w:rPr>
        <w:t>•  Délai de remise des offres : minimum 10 jours calendrier (recommandé).</w:t>
      </w:r>
    </w:p>
    <w:p>
      <w:pPr>
        <w:pStyle w:val="ListBullet"/>
        <w:spacing w:after="60"/>
      </w:pPr>
      <w:r>
        <w:rPr>
          <w:color w:val="302840"/>
          <w:sz w:val="20"/>
        </w:rPr>
        <w:t>•  Évaluation des offres sur les critères définis.</w:t>
      </w:r>
    </w:p>
    <w:p>
      <w:pPr>
        <w:pStyle w:val="ListBullet"/>
        <w:spacing w:after="60"/>
      </w:pPr>
      <w:r>
        <w:rPr>
          <w:color w:val="302840"/>
          <w:sz w:val="20"/>
        </w:rPr>
        <w:t>•  Information des candidats non retenus.</w:t>
      </w:r>
    </w:p>
    <w:p>
      <w:pPr>
        <w:pStyle w:val="ListBullet"/>
        <w:spacing w:after="60"/>
      </w:pPr>
      <w:r>
        <w:rPr>
          <w:color w:val="302840"/>
          <w:sz w:val="20"/>
        </w:rPr>
        <w:t>•  Signature du marché et conservation du dossier.</w:t>
      </w:r>
    </w:p>
    <w:p>
      <w:pPr>
        <w:spacing w:before="280" w:after="120"/>
        <w:pBdr>
          <w:left w:val="single" w:sz="12" w:space="6" w:color="E63948"/>
        </w:pBdr>
      </w:pPr>
      <w:r>
        <w:rPr>
          <w:b/>
          <w:color w:val="2E2348"/>
          <w:sz w:val="26"/>
        </w:rPr>
        <w:t>Documents à préparer</w:t>
      </w:r>
    </w:p>
    <w:p>
      <w:pPr>
        <w:pStyle w:val="ListBullet"/>
        <w:spacing w:after="60"/>
      </w:pPr>
      <w:r>
        <w:rPr>
          <w:color w:val="302840"/>
          <w:sz w:val="20"/>
        </w:rPr>
        <w:t>☐  Cahier spécial des charges (CSC) ou document descriptif.</w:t>
      </w:r>
    </w:p>
    <w:p>
      <w:pPr>
        <w:pStyle w:val="ListBullet"/>
        <w:spacing w:after="60"/>
      </w:pPr>
      <w:r>
        <w:rPr>
          <w:color w:val="302840"/>
          <w:sz w:val="20"/>
        </w:rPr>
        <w:t>☐  Formulaire d'invitation à soumissionner.</w:t>
      </w:r>
    </w:p>
    <w:p>
      <w:pPr>
        <w:pStyle w:val="ListBullet"/>
        <w:spacing w:after="60"/>
      </w:pPr>
      <w:r>
        <w:rPr>
          <w:color w:val="302840"/>
          <w:sz w:val="20"/>
        </w:rPr>
        <w:t>☐  Grille d'évaluation des offres.</w:t>
      </w:r>
    </w:p>
    <w:p>
      <w:pPr>
        <w:pStyle w:val="ListBullet"/>
        <w:spacing w:after="60"/>
      </w:pPr>
      <w:r>
        <w:rPr>
          <w:color w:val="302840"/>
          <w:sz w:val="20"/>
        </w:rPr>
        <w:t>☐  Procès-verbal d'ouverture et d'analyse des offres.</w:t>
      </w:r>
    </w:p>
    <w:p>
      <w:pPr>
        <w:pStyle w:val="ListBullet"/>
        <w:spacing w:after="60"/>
      </w:pPr>
      <w:r>
        <w:rPr>
          <w:color w:val="302840"/>
          <w:sz w:val="20"/>
        </w:rPr>
        <w:t>☐  Lettre de notification au prestataire retenu.</w:t>
      </w:r>
    </w:p>
    <w:p>
      <w:pPr>
        <w:pStyle w:val="ListBullet"/>
        <w:spacing w:after="60"/>
      </w:pPr>
      <w:r>
        <w:rPr>
          <w:color w:val="302840"/>
          <w:sz w:val="20"/>
        </w:rPr>
        <w:t>☐  Lettre d'information aux prestataires écartés.</w:t>
      </w:r>
    </w:p>
    <w:p>
      <w:pPr>
        <w:pStyle w:val="ListBullet"/>
        <w:spacing w:after="60"/>
      </w:pPr>
      <w:r>
        <w:rPr>
          <w:color w:val="302840"/>
          <w:sz w:val="20"/>
        </w:rPr>
        <w:t>☐  Contrat ou bon de commande signé.</w:t>
      </w:r>
    </w:p>
    <w:p>
      <w:pPr>
        <w:spacing w:before="280" w:after="120"/>
        <w:pBdr>
          <w:left w:val="single" w:sz="12" w:space="6" w:color="E63948"/>
        </w:pBdr>
      </w:pPr>
      <w:r>
        <w:rPr>
          <w:b/>
          <w:color w:val="2E2348"/>
          <w:sz w:val="26"/>
        </w:rPr>
        <w:t>Ressources officielles à consulter</w:t>
      </w:r>
    </w:p>
    <w:p>
      <w:pPr>
        <w:pStyle w:val="ListBullet"/>
        <w:spacing w:after="60"/>
      </w:pPr>
      <w:r>
        <w:rPr>
          <w:color w:val="302840"/>
          <w:sz w:val="20"/>
        </w:rPr>
        <w:t>•  BOSA : bosa.belgium.be/fr/marche-publics-regles-et-procedures</w:t>
      </w:r>
    </w:p>
    <w:p>
      <w:pPr>
        <w:pStyle w:val="ListBullet"/>
        <w:spacing w:after="60"/>
      </w:pPr>
      <w:r>
        <w:rPr>
          <w:color w:val="302840"/>
          <w:sz w:val="20"/>
        </w:rPr>
        <w:t>•  SPF Économie : economie.fgov.be/fr/themes/marches-publics</w:t>
      </w:r>
    </w:p>
    <w:p>
      <w:pPr>
        <w:pStyle w:val="ListBullet"/>
        <w:spacing w:after="60"/>
      </w:pPr>
      <w:r>
        <w:rPr>
          <w:color w:val="302840"/>
          <w:sz w:val="20"/>
        </w:rPr>
        <w:t>•  Portail Wallonie : marchespublics.wallonie.be</w:t>
      </w:r>
    </w:p>
    <w:p>
      <w:pPr>
        <w:pStyle w:val="ListBullet"/>
        <w:spacing w:after="60"/>
      </w:pPr>
      <w:r>
        <w:rPr>
          <w:color w:val="302840"/>
          <w:sz w:val="20"/>
        </w:rPr>
        <w:t>•  e-Procurement : publicprocurement.be</w:t>
      </w:r>
    </w:p>
    <w:p/>
    <w:p>
      <w:pPr>
        <w:pBdr>
          <w:top w:val="single" w:sz="4" w:space="1" w:color="E4D9CC"/>
        </w:pBdr>
      </w:pPr>
      <w:r>
        <w:rPr>
          <w:i/>
          <w:color w:val="5E6B7D"/>
          <w:sz w:val="16"/>
        </w:rPr>
        <w:t>⚠  Avertissement — Ce document est fourni à titre éducatif et pratique uniquement. Il ne constitue pas un avis juridique. Il ne garantit pas la conformité de votre procédure avec la législation applicable. Adaptez-le impérativement à votre contexte avant tout usage réel. À faire valider par une personne compétente avant usage dans une procédure réelle. marchépublic.be est un outil indépendant — non affilié à une autorité publique belge.</w:t>
        <w:br/>
        <w:t>Sources officielles à consulter : BOSA (bosa.belgium.be) · e-Procurement (publicprocurement.be) · SPF Économie (economie.fgov.be) · Marchés publics Wallonie (marchespublics.wallonie.be) · Règlement général UE 2016/679 (RGPD) pour les données personnelles.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