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E63948"/>
          <w:sz w:val="28"/>
        </w:rPr>
        <w:t>marchépublic.be</w:t>
      </w:r>
      <w:r>
        <w:rPr>
          <w:color w:val="5E6B7D"/>
          <w:sz w:val="18"/>
        </w:rPr>
        <w:t xml:space="preserve">  ·  Ressource pratique — document de travail à adapter</w:t>
      </w:r>
    </w:p>
    <w:p>
      <w:pPr>
        <w:pBdr>
          <w:bottom w:val="single" w:sz="6" w:space="1" w:color="E63948"/>
        </w:pBdr>
        <w:spacing w:after="80"/>
      </w:pPr>
    </w:p>
    <w:p>
      <w:pPr>
        <w:spacing w:before="120" w:after="200"/>
      </w:pPr>
      <w:r>
        <w:rPr>
          <w:i/>
          <w:color w:val="8B5010"/>
          <w:sz w:val="17"/>
        </w:rPr>
        <w:t>⚠  DOCUMENT DE TRAVAIL — À ADAPTER À VOTRE CONTEXTE</w:t>
        <w:br/>
        <w:t>Ce document est une aide pratique éducative. Il ne constitue pas un avis juridique et ne garantit pas la conformité légale de votre procédure. Avant tout usage dans une procédure réelle, faites-le valider par une personne compétente en marchés publics (juriste, conseiller juridique, bailleur de fonds). marchépublic.be est un outil indépendant — non affilié à une autorité publique belge.</w:t>
      </w:r>
    </w:p>
    <w:p>
      <w:pPr>
        <w:spacing w:before="80" w:after="80"/>
      </w:pPr>
      <w:r>
        <w:rPr>
          <w:b/>
          <w:color w:val="2E2348"/>
          <w:sz w:val="40"/>
        </w:rPr>
        <w:t>Comparer plusieurs prestataires simplement</w:t>
      </w:r>
    </w:p>
    <w:p>
      <w:pPr>
        <w:spacing w:after="280"/>
      </w:pPr>
      <w:r>
        <w:rPr>
          <w:color w:val="5E6B7D"/>
          <w:sz w:val="22"/>
        </w:rPr>
        <w:t>Une méthode claire pour mettre en concurrence sans alourdir votre projet.</w:t>
      </w:r>
    </w:p>
    <w:p>
      <w:pPr>
        <w:spacing w:before="280" w:after="120"/>
        <w:pBdr>
          <w:left w:val="single" w:sz="12" w:space="6" w:color="E63948"/>
        </w:pBdr>
      </w:pPr>
      <w:r>
        <w:rPr>
          <w:b/>
          <w:color w:val="2E2348"/>
          <w:sz w:val="26"/>
        </w:rPr>
        <w:t>Pourquoi formaliser la comparaison ?</w:t>
      </w:r>
    </w:p>
    <w:p>
      <w:pPr>
        <w:spacing w:after="120"/>
      </w:pPr>
      <w:r>
        <w:rPr>
          <w:color w:val="302840"/>
          <w:sz w:val="21"/>
        </w:rPr>
        <w:t>Choisir un prestataire de façon équitable et traçable protège votre organisation. En cas de contrôle par votre bailleur de fonds, un audit ou un recours d'un prestataire écarté, vous devez pouvoir justifier votre décision.</w:t>
      </w:r>
    </w:p>
    <w:p>
      <w:pPr>
        <w:spacing w:before="280" w:after="120"/>
        <w:pBdr>
          <w:left w:val="single" w:sz="12" w:space="6" w:color="E63948"/>
        </w:pBdr>
      </w:pPr>
      <w:r>
        <w:rPr>
          <w:b/>
          <w:color w:val="2E2348"/>
          <w:sz w:val="26"/>
        </w:rPr>
        <w:t>Méthode en 4 étapes</w:t>
      </w:r>
    </w:p>
    <w:p>
      <w:pPr>
        <w:pStyle w:val="ListBullet"/>
        <w:spacing w:after="60"/>
      </w:pPr>
      <w:r>
        <w:rPr>
          <w:color w:val="302840"/>
          <w:sz w:val="20"/>
        </w:rPr>
        <w:t>•  Étape 1 — Définir le besoin : rédigez une fiche de 1 à 2 pages décrivant ce que vous attendez, les livrables, le budget indicatif et les délais.</w:t>
      </w:r>
    </w:p>
    <w:p>
      <w:pPr>
        <w:pStyle w:val="ListBullet"/>
        <w:spacing w:after="60"/>
      </w:pPr>
      <w:r>
        <w:rPr>
          <w:color w:val="302840"/>
          <w:sz w:val="20"/>
        </w:rPr>
        <w:t>•  Étape 2 — Identifier les prestataires : cherchez au moins 3 candidats via votre réseau, des plateformes sectorielles ou des recommandations.</w:t>
      </w:r>
    </w:p>
    <w:p>
      <w:pPr>
        <w:pStyle w:val="ListBullet"/>
        <w:spacing w:after="60"/>
      </w:pPr>
      <w:r>
        <w:rPr>
          <w:color w:val="302840"/>
          <w:sz w:val="20"/>
        </w:rPr>
        <w:t>•  Étape 3 — Envoyer la même demande : transmettez exactement le même brief à chaque prestataire pour permettre une comparaison équitable.</w:t>
      </w:r>
    </w:p>
    <w:p>
      <w:pPr>
        <w:pStyle w:val="ListBullet"/>
        <w:spacing w:after="60"/>
      </w:pPr>
      <w:r>
        <w:rPr>
          <w:color w:val="302840"/>
          <w:sz w:val="20"/>
        </w:rPr>
        <w:t>•  Étape 4 — Évaluer et décider : utilisez la grille ci-dessous pour noter chaque offre et justifier votre choix final.</w:t>
      </w:r>
    </w:p>
    <w:p>
      <w:pPr>
        <w:spacing w:before="280" w:after="120"/>
        <w:pBdr>
          <w:left w:val="single" w:sz="12" w:space="6" w:color="E63948"/>
        </w:pBdr>
      </w:pPr>
      <w:r>
        <w:rPr>
          <w:b/>
          <w:color w:val="2E2348"/>
          <w:sz w:val="26"/>
        </w:rPr>
        <w:t>Grille d'évaluation pondérée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2E2348"/>
          </w:tcPr>
          <w:p>
            <w:r>
              <w:rPr>
                <w:b/>
                <w:color w:val="FFFFFF"/>
                <w:sz w:val="18"/>
              </w:rPr>
              <w:t>Critère</w:t>
            </w:r>
          </w:p>
        </w:tc>
        <w:tc>
          <w:tcPr>
            <w:tcW w:type="dxa" w:w="1881"/>
            <w:shd w:val="clear" w:color="auto" w:fill="2E2348"/>
          </w:tcPr>
          <w:p>
            <w:r>
              <w:rPr>
                <w:b/>
                <w:color w:val="FFFFFF"/>
                <w:sz w:val="18"/>
              </w:rPr>
              <w:t>Poids (%)</w:t>
            </w:r>
          </w:p>
        </w:tc>
        <w:tc>
          <w:tcPr>
            <w:tcW w:type="dxa" w:w="1881"/>
            <w:shd w:val="clear" w:color="auto" w:fill="2E2348"/>
          </w:tcPr>
          <w:p>
            <w:r>
              <w:rPr>
                <w:b/>
                <w:color w:val="FFFFFF"/>
                <w:sz w:val="18"/>
              </w:rPr>
              <w:t>Prestataire A /10</w:t>
            </w:r>
          </w:p>
        </w:tc>
        <w:tc>
          <w:tcPr>
            <w:tcW w:type="dxa" w:w="1881"/>
            <w:shd w:val="clear" w:color="auto" w:fill="2E2348"/>
          </w:tcPr>
          <w:p>
            <w:r>
              <w:rPr>
                <w:b/>
                <w:color w:val="FFFFFF"/>
                <w:sz w:val="18"/>
              </w:rPr>
              <w:t>Prestataire B /10</w:t>
            </w:r>
          </w:p>
        </w:tc>
        <w:tc>
          <w:tcPr>
            <w:tcW w:type="dxa" w:w="1881"/>
            <w:shd w:val="clear" w:color="auto" w:fill="2E2348"/>
          </w:tcPr>
          <w:p>
            <w:r>
              <w:rPr>
                <w:b/>
                <w:color w:val="FFFFFF"/>
                <w:sz w:val="18"/>
              </w:rPr>
              <w:t>Prestataire C /10</w:t>
            </w:r>
          </w:p>
        </w:tc>
      </w:tr>
      <w:tr>
        <w:tc>
          <w:tcPr>
            <w:tcW w:type="dxa" w:w="1881"/>
          </w:tcPr>
          <w:p>
            <w:r>
              <w:rPr>
                <w:sz w:val="18"/>
              </w:rPr>
              <w:t>Compréhension du besoin</w:t>
            </w:r>
          </w:p>
        </w:tc>
        <w:tc>
          <w:tcPr>
            <w:tcW w:type="dxa" w:w="1881"/>
          </w:tcPr>
          <w:p>
            <w:r>
              <w:rPr>
                <w:sz w:val="18"/>
              </w:rPr>
              <w:t>25 %</w:t>
            </w:r>
          </w:p>
        </w:tc>
        <w:tc>
          <w:tcPr>
            <w:tcW w:type="dxa" w:w="1881"/>
          </w:tcPr>
          <w:p>
            <w:r>
              <w:rPr>
                <w:sz w:val="18"/>
              </w:rPr>
            </w:r>
          </w:p>
        </w:tc>
        <w:tc>
          <w:tcPr>
            <w:tcW w:type="dxa" w:w="1881"/>
          </w:tcPr>
          <w:p>
            <w:r>
              <w:rPr>
                <w:sz w:val="18"/>
              </w:rPr>
            </w:r>
          </w:p>
        </w:tc>
        <w:tc>
          <w:tcPr>
            <w:tcW w:type="dxa" w:w="1881"/>
          </w:tcPr>
          <w:p>
            <w:r>
              <w:rPr>
                <w:sz w:val="18"/>
              </w:rPr>
            </w:r>
          </w:p>
        </w:tc>
      </w:tr>
      <w:tr>
        <w:tc>
          <w:tcPr>
            <w:tcW w:type="dxa" w:w="1881"/>
          </w:tcPr>
          <w:p>
            <w:r>
              <w:rPr>
                <w:sz w:val="18"/>
              </w:rPr>
              <w:t>Prix total HTVA</w:t>
            </w:r>
          </w:p>
        </w:tc>
        <w:tc>
          <w:tcPr>
            <w:tcW w:type="dxa" w:w="1881"/>
          </w:tcPr>
          <w:p>
            <w:r>
              <w:rPr>
                <w:sz w:val="18"/>
              </w:rPr>
              <w:t>30 %</w:t>
            </w:r>
          </w:p>
        </w:tc>
        <w:tc>
          <w:tcPr>
            <w:tcW w:type="dxa" w:w="1881"/>
          </w:tcPr>
          <w:p>
            <w:r>
              <w:rPr>
                <w:sz w:val="18"/>
              </w:rPr>
            </w:r>
          </w:p>
        </w:tc>
        <w:tc>
          <w:tcPr>
            <w:tcW w:type="dxa" w:w="1881"/>
          </w:tcPr>
          <w:p>
            <w:r>
              <w:rPr>
                <w:sz w:val="18"/>
              </w:rPr>
            </w:r>
          </w:p>
        </w:tc>
        <w:tc>
          <w:tcPr>
            <w:tcW w:type="dxa" w:w="1881"/>
          </w:tcPr>
          <w:p>
            <w:r>
              <w:rPr>
                <w:sz w:val="18"/>
              </w:rPr>
            </w:r>
          </w:p>
        </w:tc>
      </w:tr>
      <w:tr>
        <w:tc>
          <w:tcPr>
            <w:tcW w:type="dxa" w:w="1881"/>
          </w:tcPr>
          <w:p>
            <w:r>
              <w:rPr>
                <w:sz w:val="18"/>
              </w:rPr>
              <w:t>Références et expérience</w:t>
            </w:r>
          </w:p>
        </w:tc>
        <w:tc>
          <w:tcPr>
            <w:tcW w:type="dxa" w:w="1881"/>
          </w:tcPr>
          <w:p>
            <w:r>
              <w:rPr>
                <w:sz w:val="18"/>
              </w:rPr>
              <w:t>20 %</w:t>
            </w:r>
          </w:p>
        </w:tc>
        <w:tc>
          <w:tcPr>
            <w:tcW w:type="dxa" w:w="1881"/>
          </w:tcPr>
          <w:p>
            <w:r>
              <w:rPr>
                <w:sz w:val="18"/>
              </w:rPr>
            </w:r>
          </w:p>
        </w:tc>
        <w:tc>
          <w:tcPr>
            <w:tcW w:type="dxa" w:w="1881"/>
          </w:tcPr>
          <w:p>
            <w:r>
              <w:rPr>
                <w:sz w:val="18"/>
              </w:rPr>
            </w:r>
          </w:p>
        </w:tc>
        <w:tc>
          <w:tcPr>
            <w:tcW w:type="dxa" w:w="1881"/>
          </w:tcPr>
          <w:p>
            <w:r>
              <w:rPr>
                <w:sz w:val="18"/>
              </w:rPr>
            </w:r>
          </w:p>
        </w:tc>
      </w:tr>
      <w:tr>
        <w:tc>
          <w:tcPr>
            <w:tcW w:type="dxa" w:w="1881"/>
          </w:tcPr>
          <w:p>
            <w:r>
              <w:rPr>
                <w:sz w:val="18"/>
              </w:rPr>
              <w:t>Délai et disponibilité</w:t>
            </w:r>
          </w:p>
        </w:tc>
        <w:tc>
          <w:tcPr>
            <w:tcW w:type="dxa" w:w="1881"/>
          </w:tcPr>
          <w:p>
            <w:r>
              <w:rPr>
                <w:sz w:val="18"/>
              </w:rPr>
              <w:t>15 %</w:t>
            </w:r>
          </w:p>
        </w:tc>
        <w:tc>
          <w:tcPr>
            <w:tcW w:type="dxa" w:w="1881"/>
          </w:tcPr>
          <w:p>
            <w:r>
              <w:rPr>
                <w:sz w:val="18"/>
              </w:rPr>
            </w:r>
          </w:p>
        </w:tc>
        <w:tc>
          <w:tcPr>
            <w:tcW w:type="dxa" w:w="1881"/>
          </w:tcPr>
          <w:p>
            <w:r>
              <w:rPr>
                <w:sz w:val="18"/>
              </w:rPr>
            </w:r>
          </w:p>
        </w:tc>
        <w:tc>
          <w:tcPr>
            <w:tcW w:type="dxa" w:w="1881"/>
          </w:tcPr>
          <w:p>
            <w:r>
              <w:rPr>
                <w:sz w:val="18"/>
              </w:rPr>
            </w:r>
          </w:p>
        </w:tc>
      </w:tr>
      <w:tr>
        <w:tc>
          <w:tcPr>
            <w:tcW w:type="dxa" w:w="1881"/>
          </w:tcPr>
          <w:p>
            <w:r>
              <w:rPr>
                <w:sz w:val="18"/>
              </w:rPr>
              <w:t>Qualité de la proposition</w:t>
            </w:r>
          </w:p>
        </w:tc>
        <w:tc>
          <w:tcPr>
            <w:tcW w:type="dxa" w:w="1881"/>
          </w:tcPr>
          <w:p>
            <w:r>
              <w:rPr>
                <w:sz w:val="18"/>
              </w:rPr>
              <w:t>10 %</w:t>
            </w:r>
          </w:p>
        </w:tc>
        <w:tc>
          <w:tcPr>
            <w:tcW w:type="dxa" w:w="1881"/>
          </w:tcPr>
          <w:p>
            <w:r>
              <w:rPr>
                <w:sz w:val="18"/>
              </w:rPr>
            </w:r>
          </w:p>
        </w:tc>
        <w:tc>
          <w:tcPr>
            <w:tcW w:type="dxa" w:w="1881"/>
          </w:tcPr>
          <w:p>
            <w:r>
              <w:rPr>
                <w:sz w:val="18"/>
              </w:rPr>
            </w:r>
          </w:p>
        </w:tc>
        <w:tc>
          <w:tcPr>
            <w:tcW w:type="dxa" w:w="1881"/>
          </w:tcPr>
          <w:p>
            <w:r>
              <w:rPr>
                <w:sz w:val="18"/>
              </w:rPr>
            </w:r>
          </w:p>
        </w:tc>
      </w:tr>
      <w:tr>
        <w:tc>
          <w:tcPr>
            <w:tcW w:type="dxa" w:w="1881"/>
          </w:tcPr>
          <w:p>
            <w:r>
              <w:rPr>
                <w:sz w:val="18"/>
              </w:rPr>
              <w:t>TOTAL PONDÉRÉ /10</w:t>
            </w:r>
          </w:p>
        </w:tc>
        <w:tc>
          <w:tcPr>
            <w:tcW w:type="dxa" w:w="1881"/>
          </w:tcPr>
          <w:p>
            <w:r>
              <w:rPr>
                <w:sz w:val="18"/>
              </w:rPr>
              <w:t>100 %</w:t>
            </w:r>
          </w:p>
        </w:tc>
        <w:tc>
          <w:tcPr>
            <w:tcW w:type="dxa" w:w="1881"/>
          </w:tcPr>
          <w:p>
            <w:r>
              <w:rPr>
                <w:sz w:val="18"/>
              </w:rPr>
            </w:r>
          </w:p>
        </w:tc>
        <w:tc>
          <w:tcPr>
            <w:tcW w:type="dxa" w:w="1881"/>
          </w:tcPr>
          <w:p>
            <w:r>
              <w:rPr>
                <w:sz w:val="18"/>
              </w:rPr>
            </w:r>
          </w:p>
        </w:tc>
        <w:tc>
          <w:tcPr>
            <w:tcW w:type="dxa" w:w="1881"/>
          </w:tcPr>
          <w:p>
            <w:r>
              <w:rPr>
                <w:sz w:val="18"/>
              </w:rPr>
            </w:r>
          </w:p>
        </w:tc>
      </w:tr>
    </w:tbl>
    <w:p/>
    <w:p>
      <w:pPr>
        <w:spacing w:before="280" w:after="120"/>
        <w:pBdr>
          <w:left w:val="single" w:sz="12" w:space="6" w:color="E63948"/>
        </w:pBdr>
      </w:pPr>
      <w:r>
        <w:rPr>
          <w:b/>
          <w:color w:val="2E2348"/>
          <w:sz w:val="26"/>
        </w:rPr>
        <w:t>Modèle de justification du choix</w:t>
      </w:r>
    </w:p>
    <w:p>
      <w:pPr>
        <w:spacing w:after="120"/>
      </w:pPr>
      <w:r>
        <w:rPr>
          <w:color w:val="302840"/>
          <w:sz w:val="21"/>
        </w:rPr>
        <w:t>À compléter et à conserver dans votre dossier :</w:t>
      </w:r>
    </w:p>
    <w:p>
      <w:pPr>
        <w:pStyle w:val="ListBullet"/>
        <w:spacing w:after="60"/>
      </w:pPr>
      <w:r>
        <w:rPr>
          <w:color w:val="302840"/>
          <w:sz w:val="20"/>
        </w:rPr>
        <w:t>•  Prestataire retenu : ___________________________</w:t>
      </w:r>
    </w:p>
    <w:p>
      <w:pPr>
        <w:pStyle w:val="ListBullet"/>
        <w:spacing w:after="60"/>
      </w:pPr>
      <w:r>
        <w:rPr>
          <w:color w:val="302840"/>
          <w:sz w:val="20"/>
        </w:rPr>
        <w:t>•  Score obtenu : ________ / 10</w:t>
      </w:r>
    </w:p>
    <w:p>
      <w:pPr>
        <w:pStyle w:val="ListBullet"/>
        <w:spacing w:after="60"/>
      </w:pPr>
      <w:r>
        <w:rPr>
          <w:color w:val="302840"/>
          <w:sz w:val="20"/>
        </w:rPr>
        <w:t>•  Raison principale du choix : ___________________________</w:t>
      </w:r>
    </w:p>
    <w:p>
      <w:pPr>
        <w:pStyle w:val="ListBullet"/>
        <w:spacing w:after="60"/>
      </w:pPr>
      <w:r>
        <w:rPr>
          <w:color w:val="302840"/>
          <w:sz w:val="20"/>
        </w:rPr>
        <w:t>•  Date de la décision : ___________________________</w:t>
      </w:r>
    </w:p>
    <w:p>
      <w:pPr>
        <w:pStyle w:val="ListBullet"/>
        <w:spacing w:after="60"/>
      </w:pPr>
      <w:r>
        <w:rPr>
          <w:color w:val="302840"/>
          <w:sz w:val="20"/>
        </w:rPr>
        <w:t>•  Signataire : ___________________________</w:t>
      </w:r>
    </w:p>
    <w:p>
      <w:pPr>
        <w:spacing w:before="280" w:after="120"/>
        <w:pBdr>
          <w:left w:val="single" w:sz="12" w:space="6" w:color="E63948"/>
        </w:pBdr>
      </w:pPr>
      <w:r>
        <w:rPr>
          <w:b/>
          <w:color w:val="2E2348"/>
          <w:sz w:val="26"/>
        </w:rPr>
        <w:t>Checklist finale avant signature</w:t>
      </w:r>
    </w:p>
    <w:p>
      <w:pPr>
        <w:pStyle w:val="ListBullet"/>
        <w:spacing w:after="60"/>
      </w:pPr>
      <w:r>
        <w:rPr>
          <w:color w:val="302840"/>
          <w:sz w:val="20"/>
        </w:rPr>
        <w:t>☐  Les 3 offres sont conservées dans votre dossier.</w:t>
      </w:r>
    </w:p>
    <w:p>
      <w:pPr>
        <w:pStyle w:val="ListBullet"/>
        <w:spacing w:after="60"/>
      </w:pPr>
      <w:r>
        <w:rPr>
          <w:color w:val="302840"/>
          <w:sz w:val="20"/>
        </w:rPr>
        <w:t>☐  La grille d'évaluation est complétée et signée.</w:t>
      </w:r>
    </w:p>
    <w:p>
      <w:pPr>
        <w:pStyle w:val="ListBullet"/>
        <w:spacing w:after="60"/>
      </w:pPr>
      <w:r>
        <w:rPr>
          <w:color w:val="302840"/>
          <w:sz w:val="20"/>
        </w:rPr>
        <w:t>☐  Le choix est justifié par écrit.</w:t>
      </w:r>
    </w:p>
    <w:p>
      <w:pPr>
        <w:pStyle w:val="ListBullet"/>
        <w:spacing w:after="60"/>
      </w:pPr>
      <w:r>
        <w:rPr>
          <w:color w:val="302840"/>
          <w:sz w:val="20"/>
        </w:rPr>
        <w:t>☐  Le contrat ou bon de commande est prêt.</w:t>
      </w:r>
    </w:p>
    <w:p>
      <w:pPr>
        <w:pStyle w:val="ListBullet"/>
        <w:spacing w:after="60"/>
      </w:pPr>
      <w:r>
        <w:rPr>
          <w:color w:val="302840"/>
          <w:sz w:val="20"/>
        </w:rPr>
        <w:t>☐  Votre bailleur de fonds a été informé si requis.</w:t>
      </w:r>
    </w:p>
    <w:p/>
    <w:p>
      <w:pPr>
        <w:pBdr>
          <w:top w:val="single" w:sz="4" w:space="1" w:color="E4D9CC"/>
        </w:pBdr>
      </w:pPr>
      <w:r>
        <w:rPr>
          <w:i/>
          <w:color w:val="5E6B7D"/>
          <w:sz w:val="16"/>
        </w:rPr>
        <w:t>⚠  Avertissement — Ce document est fourni à titre éducatif et pratique uniquement. Il ne constitue pas un avis juridique. Il ne garantit pas la conformité de votre procédure avec la législation applicable. Adaptez-le impérativement à votre contexte avant tout usage réel. À faire valider par une personne compétente avant usage dans une procédure réelle. marchépublic.be est un outil indépendant — non affilié à une autorité publique belge.</w:t>
        <w:br/>
        <w:t>Sources officielles à consulter : BOSA (bosa.belgium.be) · e-Procurement (publicprocurement.be) · SPF Économie (economie.fgov.be) · Marchés publics Wallonie (marchespublics.wallonie.be) · Règlement général UE 2016/679 (RGPD) pour les données personnelles.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