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63948"/>
          <w:sz w:val="28"/>
        </w:rPr>
        <w:t>marchépublic.be</w:t>
      </w:r>
      <w:r>
        <w:rPr>
          <w:color w:val="5E6B7D"/>
          <w:sz w:val="18"/>
        </w:rPr>
        <w:t xml:space="preserve">  ·  Fiche pratique — Nomad Impact ASBL</w:t>
      </w:r>
    </w:p>
    <w:p>
      <w:pPr>
        <w:pBdr>
          <w:bottom w:val="single" w:sz="6" w:space="1" w:color="E63948"/>
        </w:pBdr>
        <w:spacing w:after="80"/>
      </w:pPr>
    </w:p>
    <w:p>
      <w:pPr>
        <w:spacing w:before="200" w:after="80"/>
      </w:pPr>
      <w:r>
        <w:rPr>
          <w:b/>
          <w:color w:val="2E2348"/>
          <w:sz w:val="40"/>
        </w:rPr>
        <w:t>Acheter sous 30 000 € HTVA</w:t>
      </w:r>
    </w:p>
    <w:p>
      <w:pPr>
        <w:spacing w:after="280"/>
      </w:pPr>
      <w:r>
        <w:rPr>
          <w:color w:val="5E6B7D"/>
          <w:sz w:val="22"/>
        </w:rPr>
        <w:t>Les bons réflexes pour commander en règle quand le montant reste sous le seuil formel.</w:t>
      </w:r>
    </w:p>
    <w:p>
      <w:pPr>
        <w:spacing w:before="280" w:after="120"/>
        <w:pBdr>
          <w:left w:val="single" w:sz="12" w:space="6" w:color="E63948"/>
        </w:pBdr>
      </w:pPr>
      <w:r>
        <w:rPr>
          <w:b/>
          <w:color w:val="2E2348"/>
          <w:sz w:val="26"/>
        </w:rPr>
        <w:t>Pourquoi ce seuil est important</w:t>
      </w:r>
    </w:p>
    <w:p>
      <w:pPr>
        <w:spacing w:after="120"/>
      </w:pPr>
      <w:r>
        <w:rPr>
          <w:color w:val="302840"/>
          <w:sz w:val="21"/>
        </w:rPr>
        <w:t>En Belgique, les marchés de faible montant (estimés sous 30 000 € HTVA pour les fournitures et services) bénéficient d'un régime allégé. Aucune publication n'est obligatoire, et la procédure est simplifiée — mais cela ne signifie pas qu'aucune règle ne s'applique.</w:t>
      </w:r>
    </w:p>
    <w:p>
      <w:pPr>
        <w:spacing w:after="120"/>
      </w:pPr>
      <w:r>
        <w:rPr>
          <w:color w:val="302840"/>
          <w:sz w:val="21"/>
        </w:rPr>
        <w:t>Si votre organisation est un pouvoir adjudicateur, les principes de transparence, d'égalité de traitement et de concurrence loyale restent d'application, même en dessous du seuil.</w:t>
      </w:r>
    </w:p>
    <w:p>
      <w:pPr>
        <w:spacing w:before="280" w:after="120"/>
        <w:pBdr>
          <w:left w:val="single" w:sz="12" w:space="6" w:color="E63948"/>
        </w:pBdr>
      </w:pPr>
      <w:r>
        <w:rPr>
          <w:b/>
          <w:color w:val="2E2348"/>
          <w:sz w:val="26"/>
        </w:rPr>
        <w:t>La méthode des 3 devis</w:t>
      </w:r>
    </w:p>
    <w:p>
      <w:pPr>
        <w:spacing w:after="120"/>
      </w:pPr>
      <w:r>
        <w:rPr>
          <w:color w:val="302840"/>
          <w:sz w:val="21"/>
        </w:rPr>
        <w:t>Pour les achats sous 30 000 € HTVA, la bonne pratique recommandée est de solliciter au minimum 3 offres comparatives. Voici comment procéder :</w:t>
      </w:r>
    </w:p>
    <w:p>
      <w:pPr>
        <w:pStyle w:val="ListBullet"/>
        <w:spacing w:after="60"/>
      </w:pPr>
      <w:r>
        <w:rPr>
          <w:color w:val="302840"/>
          <w:sz w:val="20"/>
        </w:rPr>
        <w:t>•  Rédigez une description claire de votre besoin (ce que vous achetez, dans quel délai, selon quels critères).</w:t>
      </w:r>
    </w:p>
    <w:p>
      <w:pPr>
        <w:pStyle w:val="ListBullet"/>
        <w:spacing w:after="60"/>
      </w:pPr>
      <w:r>
        <w:rPr>
          <w:color w:val="302840"/>
          <w:sz w:val="20"/>
        </w:rPr>
        <w:t>•  Envoyez la même demande à au moins 3 prestataires différents.</w:t>
      </w:r>
    </w:p>
    <w:p>
      <w:pPr>
        <w:pStyle w:val="ListBullet"/>
        <w:spacing w:after="60"/>
      </w:pPr>
      <w:r>
        <w:rPr>
          <w:color w:val="302840"/>
          <w:sz w:val="20"/>
        </w:rPr>
        <w:t>•  Comparez les offres sur des critères définis à l'avance (prix, délai, qualité, références).</w:t>
      </w:r>
    </w:p>
    <w:p>
      <w:pPr>
        <w:pStyle w:val="ListBullet"/>
        <w:spacing w:after="60"/>
      </w:pPr>
      <w:r>
        <w:rPr>
          <w:color w:val="302840"/>
          <w:sz w:val="20"/>
        </w:rPr>
        <w:t>•  Documentez votre choix et conservez les offres reçues.</w:t>
      </w:r>
    </w:p>
    <w:p>
      <w:pPr>
        <w:pStyle w:val="ListBullet"/>
        <w:spacing w:after="60"/>
      </w:pPr>
      <w:r>
        <w:rPr>
          <w:color w:val="302840"/>
          <w:sz w:val="20"/>
        </w:rPr>
        <w:t>•  Signez le contrat ou la commande après avoir justifié votre sélection par écrit.</w:t>
      </w:r>
    </w:p>
    <w:p>
      <w:pPr>
        <w:spacing w:before="280" w:after="120"/>
        <w:pBdr>
          <w:left w:val="single" w:sz="12" w:space="6" w:color="E63948"/>
        </w:pBdr>
      </w:pPr>
      <w:r>
        <w:rPr>
          <w:b/>
          <w:color w:val="2E2348"/>
          <w:sz w:val="26"/>
        </w:rPr>
        <w:t>Tableau comparatif simplifié</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2E2348"/>
          </w:tcPr>
          <w:p>
            <w:r>
              <w:rPr>
                <w:b/>
                <w:color w:val="FFFFFF"/>
                <w:sz w:val="18"/>
              </w:rPr>
              <w:t>Critère</w:t>
            </w:r>
          </w:p>
        </w:tc>
        <w:tc>
          <w:tcPr>
            <w:tcW w:type="dxa" w:w="2351"/>
            <w:shd w:val="clear" w:color="auto" w:fill="2E2348"/>
          </w:tcPr>
          <w:p>
            <w:r>
              <w:rPr>
                <w:b/>
                <w:color w:val="FFFFFF"/>
                <w:sz w:val="18"/>
              </w:rPr>
              <w:t>Prestataire A</w:t>
            </w:r>
          </w:p>
        </w:tc>
        <w:tc>
          <w:tcPr>
            <w:tcW w:type="dxa" w:w="2351"/>
            <w:shd w:val="clear" w:color="auto" w:fill="2E2348"/>
          </w:tcPr>
          <w:p>
            <w:r>
              <w:rPr>
                <w:b/>
                <w:color w:val="FFFFFF"/>
                <w:sz w:val="18"/>
              </w:rPr>
              <w:t>Prestataire B</w:t>
            </w:r>
          </w:p>
        </w:tc>
        <w:tc>
          <w:tcPr>
            <w:tcW w:type="dxa" w:w="2351"/>
            <w:shd w:val="clear" w:color="auto" w:fill="2E2348"/>
          </w:tcPr>
          <w:p>
            <w:r>
              <w:rPr>
                <w:b/>
                <w:color w:val="FFFFFF"/>
                <w:sz w:val="18"/>
              </w:rPr>
              <w:t>Prestataire C</w:t>
            </w:r>
          </w:p>
        </w:tc>
      </w:tr>
      <w:tr>
        <w:tc>
          <w:tcPr>
            <w:tcW w:type="dxa" w:w="2351"/>
          </w:tcPr>
          <w:p>
            <w:r>
              <w:rPr>
                <w:sz w:val="18"/>
              </w:rPr>
              <w:t>Prix HTVA</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Délai de livraison</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Références similaires</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Qualité de l'offre</w:t>
            </w:r>
          </w:p>
        </w:tc>
        <w:tc>
          <w:tcPr>
            <w:tcW w:type="dxa" w:w="2351"/>
          </w:tcPr>
          <w:p>
            <w:r>
              <w:rPr>
                <w:sz w:val="18"/>
              </w:rPr>
            </w:r>
          </w:p>
        </w:tc>
        <w:tc>
          <w:tcPr>
            <w:tcW w:type="dxa" w:w="2351"/>
          </w:tcPr>
          <w:p>
            <w:r>
              <w:rPr>
                <w:sz w:val="18"/>
              </w:rPr>
            </w:r>
          </w:p>
        </w:tc>
        <w:tc>
          <w:tcPr>
            <w:tcW w:type="dxa" w:w="2351"/>
          </w:tcPr>
          <w:p>
            <w:r>
              <w:rPr>
                <w:sz w:val="18"/>
              </w:rPr>
            </w:r>
          </w:p>
        </w:tc>
      </w:tr>
      <w:tr>
        <w:tc>
          <w:tcPr>
            <w:tcW w:type="dxa" w:w="2351"/>
          </w:tcPr>
          <w:p>
            <w:r>
              <w:rPr>
                <w:sz w:val="18"/>
              </w:rPr>
              <w:t>Score global /10</w:t>
            </w:r>
          </w:p>
        </w:tc>
        <w:tc>
          <w:tcPr>
            <w:tcW w:type="dxa" w:w="2351"/>
          </w:tcPr>
          <w:p>
            <w:r>
              <w:rPr>
                <w:sz w:val="18"/>
              </w:rPr>
            </w:r>
          </w:p>
        </w:tc>
        <w:tc>
          <w:tcPr>
            <w:tcW w:type="dxa" w:w="2351"/>
          </w:tcPr>
          <w:p>
            <w:r>
              <w:rPr>
                <w:sz w:val="18"/>
              </w:rPr>
            </w:r>
          </w:p>
        </w:tc>
        <w:tc>
          <w:tcPr>
            <w:tcW w:type="dxa" w:w="2351"/>
          </w:tcPr>
          <w:p>
            <w:r>
              <w:rPr>
                <w:sz w:val="18"/>
              </w:rPr>
            </w:r>
          </w:p>
        </w:tc>
      </w:tr>
    </w:tbl>
    <w:p/>
    <w:p>
      <w:pPr>
        <w:spacing w:before="280" w:after="120"/>
        <w:pBdr>
          <w:left w:val="single" w:sz="12" w:space="6" w:color="E63948"/>
        </w:pBdr>
      </w:pPr>
      <w:r>
        <w:rPr>
          <w:b/>
          <w:color w:val="2E2348"/>
          <w:sz w:val="26"/>
        </w:rPr>
        <w:t>Ce qu'il faut conserver dans votre dossier</w:t>
      </w:r>
    </w:p>
    <w:p>
      <w:pPr>
        <w:pStyle w:val="ListBullet"/>
        <w:spacing w:after="60"/>
      </w:pPr>
      <w:r>
        <w:rPr>
          <w:color w:val="302840"/>
          <w:sz w:val="20"/>
        </w:rPr>
        <w:t>☐  La description du besoin envoyée aux prestataires.</w:t>
      </w:r>
    </w:p>
    <w:p>
      <w:pPr>
        <w:pStyle w:val="ListBullet"/>
        <w:spacing w:after="60"/>
      </w:pPr>
      <w:r>
        <w:rPr>
          <w:color w:val="302840"/>
          <w:sz w:val="20"/>
        </w:rPr>
        <w:t>☐  Les 3 offres reçues (mails, devis, propositions).</w:t>
      </w:r>
    </w:p>
    <w:p>
      <w:pPr>
        <w:pStyle w:val="ListBullet"/>
        <w:spacing w:after="60"/>
      </w:pPr>
      <w:r>
        <w:rPr>
          <w:color w:val="302840"/>
          <w:sz w:val="20"/>
        </w:rPr>
        <w:t>☐  Le tableau comparatif complété.</w:t>
      </w:r>
    </w:p>
    <w:p>
      <w:pPr>
        <w:pStyle w:val="ListBullet"/>
        <w:spacing w:after="60"/>
      </w:pPr>
      <w:r>
        <w:rPr>
          <w:color w:val="302840"/>
          <w:sz w:val="20"/>
        </w:rPr>
        <w:t>☐  La justification écrite de votre choix final.</w:t>
      </w:r>
    </w:p>
    <w:p>
      <w:pPr>
        <w:pStyle w:val="ListBullet"/>
        <w:spacing w:after="60"/>
      </w:pPr>
      <w:r>
        <w:rPr>
          <w:color w:val="302840"/>
          <w:sz w:val="20"/>
        </w:rPr>
        <w:t>☐  Le bon de commande ou contrat signé.</w:t>
      </w:r>
    </w:p>
    <w:p>
      <w:pPr>
        <w:pStyle w:val="ListBullet"/>
        <w:spacing w:after="60"/>
      </w:pPr>
      <w:r>
        <w:rPr>
          <w:color w:val="302840"/>
          <w:sz w:val="20"/>
        </w:rPr>
        <w:t>☐  Les éventuelles factures et preuves de paiement.</w:t>
      </w:r>
    </w:p>
    <w:p>
      <w:pPr>
        <w:spacing w:before="280" w:after="120"/>
        <w:pBdr>
          <w:left w:val="single" w:sz="12" w:space="6" w:color="E63948"/>
        </w:pBdr>
      </w:pPr>
      <w:r>
        <w:rPr>
          <w:b/>
          <w:color w:val="2E2348"/>
          <w:sz w:val="26"/>
        </w:rPr>
        <w:t>Attention : quand la règle change</w:t>
      </w:r>
    </w:p>
    <w:p>
      <w:pPr>
        <w:spacing w:after="120"/>
      </w:pPr>
      <w:r>
        <w:rPr>
          <w:color w:val="302840"/>
          <w:sz w:val="21"/>
        </w:rPr>
        <w:t>Ce régime allégé ne s'applique pas si :</w:t>
      </w:r>
    </w:p>
    <w:p>
      <w:pPr>
        <w:pStyle w:val="ListBullet"/>
        <w:spacing w:after="60"/>
      </w:pPr>
      <w:r>
        <w:rPr>
          <w:color w:val="302840"/>
          <w:sz w:val="20"/>
        </w:rPr>
        <w:t>•  Votre convention de subvention impose explicitement le respect des marchés publics.</w:t>
      </w:r>
    </w:p>
    <w:p>
      <w:pPr>
        <w:pStyle w:val="ListBullet"/>
        <w:spacing w:after="60"/>
      </w:pPr>
      <w:r>
        <w:rPr>
          <w:color w:val="302840"/>
          <w:sz w:val="20"/>
        </w:rPr>
        <w:t>•  Le montant total de la commande (ou des commandes similaires sur l'année) dépasse 30 000 € HTVA.</w:t>
      </w:r>
    </w:p>
    <w:p>
      <w:pPr>
        <w:pStyle w:val="ListBullet"/>
        <w:spacing w:after="60"/>
      </w:pPr>
      <w:r>
        <w:rPr>
          <w:color w:val="302840"/>
          <w:sz w:val="20"/>
        </w:rPr>
        <w:t>•  Vous fractionnez artificiellement un marché pour rester sous le seuil (c'est interdit).</w:t>
      </w:r>
    </w:p>
    <w:p/>
    <w:p>
      <w:pPr>
        <w:pBdr>
          <w:top w:val="single" w:sz="4" w:space="1" w:color="E4D9CC"/>
        </w:pBdr>
      </w:pPr>
      <w:r>
        <w:rPr>
          <w:i/>
          <w:color w:val="5E6B7D"/>
          <w:sz w:val="17"/>
        </w:rPr>
        <w:t>⚠  Avertissement : Ce document est fourni à titre pédagogique uniquement. Il ne constitue pas un avis juridique. Pour toute situation engageante, consultez un·e juriste ou un service compétent en marchés publics. marchépublic.be est un outil indépendant de Nomad Impact ASBL — non affilié à une autorité publique.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