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E63948"/>
          <w:sz w:val="28"/>
        </w:rPr>
        <w:t>marchépublic.be</w:t>
      </w:r>
      <w:r>
        <w:rPr>
          <w:color w:val="5E6B7D"/>
          <w:sz w:val="18"/>
        </w:rPr>
        <w:t xml:space="preserve">  ·  Fiche pratique — Nomad Impact ASBL</w:t>
      </w:r>
    </w:p>
    <w:p>
      <w:pPr>
        <w:pBdr>
          <w:bottom w:val="single" w:sz="6" w:space="1" w:color="E63948"/>
        </w:pBdr>
        <w:spacing w:after="80"/>
      </w:pPr>
    </w:p>
    <w:p>
      <w:pPr>
        <w:spacing w:before="200" w:after="80"/>
      </w:pPr>
      <w:r>
        <w:rPr>
          <w:b/>
          <w:color w:val="2E2348"/>
          <w:sz w:val="40"/>
        </w:rPr>
        <w:t>ASBL subsidiée — Quelles obligations d'achat vérifier ?</w:t>
      </w:r>
    </w:p>
    <w:p>
      <w:pPr>
        <w:spacing w:after="280"/>
      </w:pPr>
      <w:r>
        <w:rPr>
          <w:color w:val="5E6B7D"/>
          <w:sz w:val="22"/>
        </w:rPr>
        <w:t>Les points à contrôler dans vos conventions de subvention avant de choisir un prestataire.</w:t>
      </w:r>
    </w:p>
    <w:p>
      <w:pPr>
        <w:spacing w:before="280" w:after="120"/>
        <w:pBdr>
          <w:left w:val="single" w:sz="12" w:space="6" w:color="E63948"/>
        </w:pBdr>
      </w:pPr>
      <w:r>
        <w:rPr>
          <w:b/>
          <w:color w:val="2E2348"/>
          <w:sz w:val="26"/>
        </w:rPr>
        <w:t>Trois sources d'obligations possibles</w:t>
      </w:r>
    </w:p>
    <w:p>
      <w:pPr>
        <w:pStyle w:val="ListBullet"/>
        <w:spacing w:after="60"/>
      </w:pPr>
      <w:r>
        <w:rPr>
          <w:color w:val="302840"/>
          <w:sz w:val="20"/>
        </w:rPr>
        <w:t>•  1. La loi du 17 juin 2016 sur les marchés publics — si vous êtes qualifié·e de pouvoir adjudicateur.</w:t>
      </w:r>
    </w:p>
    <w:p>
      <w:pPr>
        <w:pStyle w:val="ListBullet"/>
        <w:spacing w:after="60"/>
      </w:pPr>
      <w:r>
        <w:rPr>
          <w:color w:val="302840"/>
          <w:sz w:val="20"/>
        </w:rPr>
        <w:t>•  2. Votre convention de subvention — certains bailleurs imposent contractuellement des règles de mise en concurrence.</w:t>
      </w:r>
    </w:p>
    <w:p>
      <w:pPr>
        <w:pStyle w:val="ListBullet"/>
        <w:spacing w:after="60"/>
      </w:pPr>
      <w:r>
        <w:rPr>
          <w:color w:val="302840"/>
          <w:sz w:val="20"/>
        </w:rPr>
        <w:t>•  3. Les règlements internes de votre bailleur — certains subsidiant ont leurs propres procédures.</w:t>
      </w:r>
    </w:p>
    <w:p>
      <w:pPr>
        <w:spacing w:after="120"/>
      </w:pPr>
      <w:r>
        <w:rPr>
          <w:color w:val="302840"/>
          <w:sz w:val="21"/>
        </w:rPr>
        <w:t>Ces trois sources sont indépendantes : vous pouvez être soumis à l'une sans l'être aux autres. Dans le doute, vérifiez les trois.</w:t>
      </w:r>
    </w:p>
    <w:p>
      <w:pPr>
        <w:spacing w:before="280" w:after="120"/>
        <w:pBdr>
          <w:left w:val="single" w:sz="12" w:space="6" w:color="E63948"/>
        </w:pBdr>
      </w:pPr>
      <w:r>
        <w:rPr>
          <w:b/>
          <w:color w:val="2E2348"/>
          <w:sz w:val="26"/>
        </w:rPr>
        <w:t>Ce que vous devez lire dans votre convention</w:t>
      </w:r>
    </w:p>
    <w:p>
      <w:pPr>
        <w:pStyle w:val="ListBullet"/>
        <w:spacing w:after="60"/>
      </w:pPr>
      <w:r>
        <w:rPr>
          <w:color w:val="302840"/>
          <w:sz w:val="20"/>
        </w:rPr>
        <w:t>•  Y a-t-il une clause mentionnant 'marchés publics', 'mise en concurrence' ou 'appel d'offres' ?</w:t>
      </w:r>
    </w:p>
    <w:p>
      <w:pPr>
        <w:pStyle w:val="ListBullet"/>
        <w:spacing w:after="60"/>
      </w:pPr>
      <w:r>
        <w:rPr>
          <w:color w:val="302840"/>
          <w:sz w:val="20"/>
        </w:rPr>
        <w:t>•  Y a-t-il un montant seuil au-delà duquel une procédure formelle est requise ?</w:t>
      </w:r>
    </w:p>
    <w:p>
      <w:pPr>
        <w:pStyle w:val="ListBullet"/>
        <w:spacing w:after="60"/>
      </w:pPr>
      <w:r>
        <w:rPr>
          <w:color w:val="302840"/>
          <w:sz w:val="20"/>
        </w:rPr>
        <w:t>•  Le bailleur impose-t-il un nombre minimum de devis ?</w:t>
      </w:r>
    </w:p>
    <w:p>
      <w:pPr>
        <w:pStyle w:val="ListBullet"/>
        <w:spacing w:after="60"/>
      </w:pPr>
      <w:r>
        <w:rPr>
          <w:color w:val="302840"/>
          <w:sz w:val="20"/>
        </w:rPr>
        <w:t>•  Y a-t-il une obligation de conserver et transmettre les pièces justificatives ?</w:t>
      </w:r>
    </w:p>
    <w:p>
      <w:pPr>
        <w:pStyle w:val="ListBullet"/>
        <w:spacing w:after="60"/>
      </w:pPr>
      <w:r>
        <w:rPr>
          <w:color w:val="302840"/>
          <w:sz w:val="20"/>
        </w:rPr>
        <w:t>•  Le bailleur doit-il approuver le choix du prestataire à l'avance ?</w:t>
      </w:r>
    </w:p>
    <w:p>
      <w:pPr>
        <w:spacing w:before="280" w:after="120"/>
        <w:pBdr>
          <w:left w:val="single" w:sz="12" w:space="6" w:color="E63948"/>
        </w:pBdr>
      </w:pPr>
      <w:r>
        <w:rPr>
          <w:b/>
          <w:color w:val="2E2348"/>
          <w:sz w:val="26"/>
        </w:rPr>
        <w:t>Checklist de vérification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2E2348"/>
          </w:tcPr>
          <w:p>
            <w:r>
              <w:rPr>
                <w:b/>
                <w:color w:val="FFFFFF"/>
                <w:sz w:val="18"/>
              </w:rPr>
              <w:t>Point à vérifier</w:t>
            </w:r>
          </w:p>
        </w:tc>
        <w:tc>
          <w:tcPr>
            <w:tcW w:type="dxa" w:w="2351"/>
            <w:shd w:val="clear" w:color="auto" w:fill="2E2348"/>
          </w:tcPr>
          <w:p>
            <w:r>
              <w:rPr>
                <w:b/>
                <w:color w:val="FFFFFF"/>
                <w:sz w:val="18"/>
              </w:rPr>
              <w:t>Oui</w:t>
            </w:r>
          </w:p>
        </w:tc>
        <w:tc>
          <w:tcPr>
            <w:tcW w:type="dxa" w:w="2351"/>
            <w:shd w:val="clear" w:color="auto" w:fill="2E2348"/>
          </w:tcPr>
          <w:p>
            <w:r>
              <w:rPr>
                <w:b/>
                <w:color w:val="FFFFFF"/>
                <w:sz w:val="18"/>
              </w:rPr>
              <w:t>Non</w:t>
            </w:r>
          </w:p>
        </w:tc>
        <w:tc>
          <w:tcPr>
            <w:tcW w:type="dxa" w:w="2351"/>
            <w:shd w:val="clear" w:color="auto" w:fill="2E2348"/>
          </w:tcPr>
          <w:p>
            <w:r>
              <w:rPr>
                <w:b/>
                <w:color w:val="FFFFFF"/>
                <w:sz w:val="18"/>
              </w:rPr>
              <w:t>À clarifier</w:t>
            </w:r>
          </w:p>
        </w:tc>
      </w:tr>
      <w:tr>
        <w:tc>
          <w:tcPr>
            <w:tcW w:type="dxa" w:w="2351"/>
          </w:tcPr>
          <w:p>
            <w:r>
              <w:rPr>
                <w:sz w:val="18"/>
              </w:rPr>
              <w:t>Convention lue intégralement ?</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Clause marché public identifiée ?</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Seuil de mise en concurrence noté ?</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Nombre de devis requis connu ?</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Pièces à conserver listées ?</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Approbation préalable du bailleur requise ?</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Règlements internes du bailleur consultés ?</w:t>
            </w:r>
          </w:p>
        </w:tc>
        <w:tc>
          <w:tcPr>
            <w:tcW w:type="dxa" w:w="2351"/>
          </w:tcPr>
          <w:p>
            <w:r>
              <w:rPr>
                <w:sz w:val="18"/>
              </w:rPr>
            </w:r>
          </w:p>
        </w:tc>
        <w:tc>
          <w:tcPr>
            <w:tcW w:type="dxa" w:w="2351"/>
          </w:tcPr>
          <w:p>
            <w:r>
              <w:rPr>
                <w:sz w:val="18"/>
              </w:rPr>
            </w:r>
          </w:p>
        </w:tc>
        <w:tc>
          <w:tcPr>
            <w:tcW w:type="dxa" w:w="2351"/>
          </w:tcPr>
          <w:p>
            <w:r>
              <w:rPr>
                <w:sz w:val="18"/>
              </w:rPr>
            </w:r>
          </w:p>
        </w:tc>
      </w:tr>
    </w:tbl>
    <w:p/>
    <w:p>
      <w:pPr>
        <w:spacing w:before="280" w:after="120"/>
        <w:pBdr>
          <w:left w:val="single" w:sz="12" w:space="6" w:color="E63948"/>
        </w:pBdr>
      </w:pPr>
      <w:r>
        <w:rPr>
          <w:b/>
          <w:color w:val="2E2348"/>
          <w:sz w:val="26"/>
        </w:rPr>
        <w:t>Si vous ne trouvez pas la réponse dans la convention</w:t>
      </w:r>
    </w:p>
    <w:p>
      <w:pPr>
        <w:pStyle w:val="ListBullet"/>
        <w:spacing w:after="60"/>
      </w:pPr>
      <w:r>
        <w:rPr>
          <w:color w:val="302840"/>
          <w:sz w:val="20"/>
        </w:rPr>
        <w:t>•  Contactez votre chargé·e de dossier chez le bailleur de fonds.</w:t>
      </w:r>
    </w:p>
    <w:p>
      <w:pPr>
        <w:pStyle w:val="ListBullet"/>
        <w:spacing w:after="60"/>
      </w:pPr>
      <w:r>
        <w:rPr>
          <w:color w:val="302840"/>
          <w:sz w:val="20"/>
        </w:rPr>
        <w:t>•  Demandez une clarification par écrit (mail) et conservez la réponse.</w:t>
      </w:r>
    </w:p>
    <w:p>
      <w:pPr>
        <w:pStyle w:val="ListBullet"/>
        <w:spacing w:after="60"/>
      </w:pPr>
      <w:r>
        <w:rPr>
          <w:color w:val="302840"/>
          <w:sz w:val="20"/>
        </w:rPr>
        <w:t>•  En l'absence de réponse claire, appliquez le principe de précaution : procédez à une mise en concurrence documentée.</w:t>
      </w:r>
    </w:p>
    <w:p>
      <w:pPr>
        <w:spacing w:before="280" w:after="120"/>
        <w:pBdr>
          <w:left w:val="single" w:sz="12" w:space="6" w:color="E63948"/>
        </w:pBdr>
      </w:pPr>
      <w:r>
        <w:rPr>
          <w:b/>
          <w:color w:val="2E2348"/>
          <w:sz w:val="26"/>
        </w:rPr>
        <w:t>Ce que vous devez conserver dans votre dossier de subvention</w:t>
      </w:r>
    </w:p>
    <w:p>
      <w:pPr>
        <w:pStyle w:val="ListBullet"/>
        <w:spacing w:after="60"/>
      </w:pPr>
      <w:r>
        <w:rPr>
          <w:color w:val="302840"/>
          <w:sz w:val="20"/>
        </w:rPr>
        <w:t>☐  La convention de subvention signée.</w:t>
      </w:r>
    </w:p>
    <w:p>
      <w:pPr>
        <w:pStyle w:val="ListBullet"/>
        <w:spacing w:after="60"/>
      </w:pPr>
      <w:r>
        <w:rPr>
          <w:color w:val="302840"/>
          <w:sz w:val="20"/>
        </w:rPr>
        <w:t>☐  Les offres reçues (minimum 3 si exigé).</w:t>
      </w:r>
    </w:p>
    <w:p>
      <w:pPr>
        <w:pStyle w:val="ListBullet"/>
        <w:spacing w:after="60"/>
      </w:pPr>
      <w:r>
        <w:rPr>
          <w:color w:val="302840"/>
          <w:sz w:val="20"/>
        </w:rPr>
        <w:t>☐  Le tableau comparatif des offres.</w:t>
      </w:r>
    </w:p>
    <w:p>
      <w:pPr>
        <w:pStyle w:val="ListBullet"/>
        <w:spacing w:after="60"/>
      </w:pPr>
      <w:r>
        <w:rPr>
          <w:color w:val="302840"/>
          <w:sz w:val="20"/>
        </w:rPr>
        <w:t>☐  La justification du choix retenu.</w:t>
      </w:r>
    </w:p>
    <w:p>
      <w:pPr>
        <w:pStyle w:val="ListBullet"/>
        <w:spacing w:after="60"/>
      </w:pPr>
      <w:r>
        <w:rPr>
          <w:color w:val="302840"/>
          <w:sz w:val="20"/>
        </w:rPr>
        <w:t>☐  Le contrat avec le prestataire.</w:t>
      </w:r>
    </w:p>
    <w:p>
      <w:pPr>
        <w:pStyle w:val="ListBullet"/>
        <w:spacing w:after="60"/>
      </w:pPr>
      <w:r>
        <w:rPr>
          <w:color w:val="302840"/>
          <w:sz w:val="20"/>
        </w:rPr>
        <w:t>☐  Les factures et preuves de paiement.</w:t>
      </w:r>
    </w:p>
    <w:p>
      <w:pPr>
        <w:pStyle w:val="ListBullet"/>
        <w:spacing w:after="60"/>
      </w:pPr>
      <w:r>
        <w:rPr>
          <w:color w:val="302840"/>
          <w:sz w:val="20"/>
        </w:rPr>
        <w:t>☐  Toute correspondance avec le bailleur sur les achats.</w:t>
      </w:r>
    </w:p>
    <w:p/>
    <w:p>
      <w:pPr>
        <w:pBdr>
          <w:top w:val="single" w:sz="4" w:space="1" w:color="E4D9CC"/>
        </w:pBdr>
      </w:pPr>
      <w:r>
        <w:rPr>
          <w:i/>
          <w:color w:val="5E6B7D"/>
          <w:sz w:val="17"/>
        </w:rPr>
        <w:t>⚠  Avertissement : Ce document est fourni à titre pédagogique uniquement. Il ne constitue pas un avis juridique. Pour toute situation engageante, consultez un·e juriste ou un service compétent en marchés publics. marchépublic.be est un outil indépendant de Nomad Impact ASBL — non affilié à une autorité publique.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