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63948"/>
          <w:sz w:val="28"/>
        </w:rPr>
        <w:t>marchépublic.be</w:t>
      </w:r>
      <w:r>
        <w:rPr>
          <w:color w:val="5E6B7D"/>
          <w:sz w:val="18"/>
        </w:rPr>
        <w:t xml:space="preserve">  ·  Fiche pratique — Nomad Impact ASBL</w:t>
      </w:r>
    </w:p>
    <w:p>
      <w:pPr>
        <w:pBdr>
          <w:bottom w:val="single" w:sz="6" w:space="1" w:color="E63948"/>
        </w:pBdr>
        <w:spacing w:after="80"/>
      </w:pPr>
    </w:p>
    <w:p>
      <w:pPr>
        <w:spacing w:before="200" w:after="80"/>
      </w:pPr>
      <w:r>
        <w:rPr>
          <w:b/>
          <w:color w:val="2E2348"/>
          <w:sz w:val="40"/>
        </w:rPr>
        <w:t>Au-delà de 30 000 € HTVA — Que faire ?</w:t>
      </w:r>
    </w:p>
    <w:p>
      <w:pPr>
        <w:spacing w:after="280"/>
      </w:pPr>
      <w:r>
        <w:rPr>
          <w:color w:val="5E6B7D"/>
          <w:sz w:val="22"/>
        </w:rPr>
        <w:t>Les procédures qui se déclenchent au-delà du seuil et comment les aborder sereinement.</w:t>
      </w:r>
    </w:p>
    <w:p>
      <w:pPr>
        <w:spacing w:before="280" w:after="120"/>
        <w:pBdr>
          <w:left w:val="single" w:sz="12" w:space="6" w:color="E63948"/>
        </w:pBdr>
      </w:pPr>
      <w:r>
        <w:rPr>
          <w:b/>
          <w:color w:val="2E2348"/>
          <w:sz w:val="26"/>
        </w:rPr>
        <w:t>Tableau des seuils (fournitures et services)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2348"/>
          </w:tcPr>
          <w:p>
            <w:r>
              <w:rPr>
                <w:b/>
                <w:color w:val="FFFFFF"/>
                <w:sz w:val="18"/>
              </w:rPr>
              <w:t>Montant estimé HTVA</w:t>
            </w:r>
          </w:p>
        </w:tc>
        <w:tc>
          <w:tcPr>
            <w:tcW w:type="dxa" w:w="3135"/>
            <w:shd w:val="clear" w:color="auto" w:fill="2E2348"/>
          </w:tcPr>
          <w:p>
            <w:r>
              <w:rPr>
                <w:b/>
                <w:color w:val="FFFFFF"/>
                <w:sz w:val="18"/>
              </w:rPr>
              <w:t>Régime applicable</w:t>
            </w:r>
          </w:p>
        </w:tc>
        <w:tc>
          <w:tcPr>
            <w:tcW w:type="dxa" w:w="3135"/>
            <w:shd w:val="clear" w:color="auto" w:fill="2E2348"/>
          </w:tcPr>
          <w:p>
            <w:r>
              <w:rPr>
                <w:b/>
                <w:color w:val="FFFFFF"/>
                <w:sz w:val="18"/>
              </w:rPr>
              <w:t>Publication requise</w:t>
            </w:r>
          </w:p>
        </w:tc>
      </w:tr>
      <w:tr>
        <w:tc>
          <w:tcPr>
            <w:tcW w:type="dxa" w:w="3135"/>
          </w:tcPr>
          <w:p>
            <w:r>
              <w:rPr>
                <w:sz w:val="18"/>
              </w:rPr>
              <w:t>&lt; 30 000 €</w:t>
            </w:r>
          </w:p>
        </w:tc>
        <w:tc>
          <w:tcPr>
            <w:tcW w:type="dxa" w:w="3135"/>
          </w:tcPr>
          <w:p>
            <w:r>
              <w:rPr>
                <w:sz w:val="18"/>
              </w:rPr>
              <w:t>Régime allégé — 3 devis recommandés</w:t>
            </w:r>
          </w:p>
        </w:tc>
        <w:tc>
          <w:tcPr>
            <w:tcW w:type="dxa" w:w="3135"/>
          </w:tcPr>
          <w:p>
            <w:r>
              <w:rPr>
                <w:sz w:val="18"/>
              </w:rPr>
              <w:t>Non</w:t>
            </w:r>
          </w:p>
        </w:tc>
      </w:tr>
      <w:tr>
        <w:tc>
          <w:tcPr>
            <w:tcW w:type="dxa" w:w="3135"/>
          </w:tcPr>
          <w:p>
            <w:r>
              <w:rPr>
                <w:sz w:val="18"/>
              </w:rPr>
              <w:t>30 000 € – 143 000 €</w:t>
            </w:r>
          </w:p>
        </w:tc>
        <w:tc>
          <w:tcPr>
            <w:tcW w:type="dxa" w:w="3135"/>
          </w:tcPr>
          <w:p>
            <w:r>
              <w:rPr>
                <w:sz w:val="18"/>
              </w:rPr>
              <w:t>Procédure négociée sans publication</w:t>
            </w:r>
          </w:p>
        </w:tc>
        <w:tc>
          <w:tcPr>
            <w:tcW w:type="dxa" w:w="3135"/>
          </w:tcPr>
          <w:p>
            <w:r>
              <w:rPr>
                <w:sz w:val="18"/>
              </w:rPr>
              <w:t>Non (facultatif)</w:t>
            </w:r>
          </w:p>
        </w:tc>
      </w:tr>
      <w:tr>
        <w:tc>
          <w:tcPr>
            <w:tcW w:type="dxa" w:w="3135"/>
          </w:tcPr>
          <w:p>
            <w:r>
              <w:rPr>
                <w:sz w:val="18"/>
              </w:rPr>
              <w:t>143 000 € – 221 000 €</w:t>
            </w:r>
          </w:p>
        </w:tc>
        <w:tc>
          <w:tcPr>
            <w:tcW w:type="dxa" w:w="3135"/>
          </w:tcPr>
          <w:p>
            <w:r>
              <w:rPr>
                <w:sz w:val="18"/>
              </w:rPr>
              <w:t>Procédure négociée avec publication</w:t>
            </w:r>
          </w:p>
        </w:tc>
        <w:tc>
          <w:tcPr>
            <w:tcW w:type="dxa" w:w="3135"/>
          </w:tcPr>
          <w:p>
            <w:r>
              <w:rPr>
                <w:sz w:val="18"/>
              </w:rPr>
              <w:t>e-Procurement</w:t>
            </w:r>
          </w:p>
        </w:tc>
      </w:tr>
      <w:tr>
        <w:tc>
          <w:tcPr>
            <w:tcW w:type="dxa" w:w="3135"/>
          </w:tcPr>
          <w:p>
            <w:r>
              <w:rPr>
                <w:sz w:val="18"/>
              </w:rPr>
              <w:t>&gt; 221 000 €</w:t>
            </w:r>
          </w:p>
        </w:tc>
        <w:tc>
          <w:tcPr>
            <w:tcW w:type="dxa" w:w="3135"/>
          </w:tcPr>
          <w:p>
            <w:r>
              <w:rPr>
                <w:sz w:val="18"/>
              </w:rPr>
              <w:t>Procédure ouverte (appel d'offres)</w:t>
            </w:r>
          </w:p>
        </w:tc>
        <w:tc>
          <w:tcPr>
            <w:tcW w:type="dxa" w:w="3135"/>
          </w:tcPr>
          <w:p>
            <w:r>
              <w:rPr>
                <w:sz w:val="18"/>
              </w:rPr>
              <w:t>e-Procurement + JOUE</w:t>
            </w:r>
          </w:p>
        </w:tc>
      </w:tr>
    </w:tbl>
    <w:p/>
    <w:p>
      <w:pPr>
        <w:spacing w:after="120"/>
      </w:pPr>
      <w:r>
        <w:rPr>
          <w:color w:val="302840"/>
          <w:sz w:val="21"/>
        </w:rPr>
        <w:t>Note : pour les marchés de travaux, les seuils sont différents (seuil européen à 5 382 000 €). Ces montants peuvent être révisés annuellement par la Commission européenne.</w:t>
      </w:r>
    </w:p>
    <w:p>
      <w:pPr>
        <w:spacing w:before="280" w:after="120"/>
        <w:pBdr>
          <w:left w:val="single" w:sz="12" w:space="6" w:color="E63948"/>
        </w:pBdr>
      </w:pPr>
      <w:r>
        <w:rPr>
          <w:b/>
          <w:color w:val="2E2348"/>
          <w:sz w:val="26"/>
        </w:rPr>
        <w:t>Procédure négociée sans publication (30k–143k €)</w:t>
      </w:r>
    </w:p>
    <w:p>
      <w:pPr>
        <w:spacing w:after="120"/>
      </w:pPr>
      <w:r>
        <w:rPr>
          <w:color w:val="302840"/>
          <w:sz w:val="21"/>
        </w:rPr>
        <w:t>C'est la procédure la plus fréquente pour les ASBL soumises aux règles. Elle comprend :</w:t>
      </w:r>
    </w:p>
    <w:p>
      <w:pPr>
        <w:pStyle w:val="ListBullet"/>
        <w:spacing w:after="60"/>
      </w:pPr>
      <w:r>
        <w:rPr>
          <w:color w:val="302840"/>
          <w:sz w:val="20"/>
        </w:rPr>
        <w:t>•  Rédaction d'un cahier des charges simplifié (description du besoin, critères d'attribution).</w:t>
      </w:r>
    </w:p>
    <w:p>
      <w:pPr>
        <w:pStyle w:val="ListBullet"/>
        <w:spacing w:after="60"/>
      </w:pPr>
      <w:r>
        <w:rPr>
          <w:color w:val="302840"/>
          <w:sz w:val="20"/>
        </w:rPr>
        <w:t>•  Invitation d'au minimum 3 prestataires à remettre une offre.</w:t>
      </w:r>
    </w:p>
    <w:p>
      <w:pPr>
        <w:pStyle w:val="ListBullet"/>
        <w:spacing w:after="60"/>
      </w:pPr>
      <w:r>
        <w:rPr>
          <w:color w:val="302840"/>
          <w:sz w:val="20"/>
        </w:rPr>
        <w:t>•  Délai de remise des offres : minimum 10 jours calendrier (recommandé).</w:t>
      </w:r>
    </w:p>
    <w:p>
      <w:pPr>
        <w:pStyle w:val="ListBullet"/>
        <w:spacing w:after="60"/>
      </w:pPr>
      <w:r>
        <w:rPr>
          <w:color w:val="302840"/>
          <w:sz w:val="20"/>
        </w:rPr>
        <w:t>•  Évaluation des offres sur les critères définis.</w:t>
      </w:r>
    </w:p>
    <w:p>
      <w:pPr>
        <w:pStyle w:val="ListBullet"/>
        <w:spacing w:after="60"/>
      </w:pPr>
      <w:r>
        <w:rPr>
          <w:color w:val="302840"/>
          <w:sz w:val="20"/>
        </w:rPr>
        <w:t>•  Information des candidats non retenus.</w:t>
      </w:r>
    </w:p>
    <w:p>
      <w:pPr>
        <w:pStyle w:val="ListBullet"/>
        <w:spacing w:after="60"/>
      </w:pPr>
      <w:r>
        <w:rPr>
          <w:color w:val="302840"/>
          <w:sz w:val="20"/>
        </w:rPr>
        <w:t>•  Signature du marché et conservation du dossier.</w:t>
      </w:r>
    </w:p>
    <w:p>
      <w:pPr>
        <w:spacing w:before="280" w:after="120"/>
        <w:pBdr>
          <w:left w:val="single" w:sz="12" w:space="6" w:color="E63948"/>
        </w:pBdr>
      </w:pPr>
      <w:r>
        <w:rPr>
          <w:b/>
          <w:color w:val="2E2348"/>
          <w:sz w:val="26"/>
        </w:rPr>
        <w:t>Documents à préparer</w:t>
      </w:r>
    </w:p>
    <w:p>
      <w:pPr>
        <w:pStyle w:val="ListBullet"/>
        <w:spacing w:after="60"/>
      </w:pPr>
      <w:r>
        <w:rPr>
          <w:color w:val="302840"/>
          <w:sz w:val="20"/>
        </w:rPr>
        <w:t>☐  Cahier spécial des charges (CSC) ou document descriptif.</w:t>
      </w:r>
    </w:p>
    <w:p>
      <w:pPr>
        <w:pStyle w:val="ListBullet"/>
        <w:spacing w:after="60"/>
      </w:pPr>
      <w:r>
        <w:rPr>
          <w:color w:val="302840"/>
          <w:sz w:val="20"/>
        </w:rPr>
        <w:t>☐  Formulaire d'invitation à soumissionner.</w:t>
      </w:r>
    </w:p>
    <w:p>
      <w:pPr>
        <w:pStyle w:val="ListBullet"/>
        <w:spacing w:after="60"/>
      </w:pPr>
      <w:r>
        <w:rPr>
          <w:color w:val="302840"/>
          <w:sz w:val="20"/>
        </w:rPr>
        <w:t>☐  Grille d'évaluation des offres.</w:t>
      </w:r>
    </w:p>
    <w:p>
      <w:pPr>
        <w:pStyle w:val="ListBullet"/>
        <w:spacing w:after="60"/>
      </w:pPr>
      <w:r>
        <w:rPr>
          <w:color w:val="302840"/>
          <w:sz w:val="20"/>
        </w:rPr>
        <w:t>☐  Procès-verbal d'ouverture et d'analyse des offres.</w:t>
      </w:r>
    </w:p>
    <w:p>
      <w:pPr>
        <w:pStyle w:val="ListBullet"/>
        <w:spacing w:after="60"/>
      </w:pPr>
      <w:r>
        <w:rPr>
          <w:color w:val="302840"/>
          <w:sz w:val="20"/>
        </w:rPr>
        <w:t>☐  Lettre de notification au prestataire retenu.</w:t>
      </w:r>
    </w:p>
    <w:p>
      <w:pPr>
        <w:pStyle w:val="ListBullet"/>
        <w:spacing w:after="60"/>
      </w:pPr>
      <w:r>
        <w:rPr>
          <w:color w:val="302840"/>
          <w:sz w:val="20"/>
        </w:rPr>
        <w:t>☐  Lettre d'information aux prestataires écartés.</w:t>
      </w:r>
    </w:p>
    <w:p>
      <w:pPr>
        <w:pStyle w:val="ListBullet"/>
        <w:spacing w:after="60"/>
      </w:pPr>
      <w:r>
        <w:rPr>
          <w:color w:val="302840"/>
          <w:sz w:val="20"/>
        </w:rPr>
        <w:t>☐  Contrat ou bon de commande signé.</w:t>
      </w:r>
    </w:p>
    <w:p>
      <w:pPr>
        <w:spacing w:before="280" w:after="120"/>
        <w:pBdr>
          <w:left w:val="single" w:sz="12" w:space="6" w:color="E63948"/>
        </w:pBdr>
      </w:pPr>
      <w:r>
        <w:rPr>
          <w:b/>
          <w:color w:val="2E2348"/>
          <w:sz w:val="26"/>
        </w:rPr>
        <w:t>Ressources officielles</w:t>
      </w:r>
    </w:p>
    <w:p>
      <w:pPr>
        <w:pStyle w:val="ListBullet"/>
        <w:spacing w:after="60"/>
      </w:pPr>
      <w:r>
        <w:rPr>
          <w:color w:val="302840"/>
          <w:sz w:val="20"/>
        </w:rPr>
        <w:t>•  BOSA : bosa.belgium.be/fr/marche-publics-regles-et-procedures</w:t>
      </w:r>
    </w:p>
    <w:p>
      <w:pPr>
        <w:pStyle w:val="ListBullet"/>
        <w:spacing w:after="60"/>
      </w:pPr>
      <w:r>
        <w:rPr>
          <w:color w:val="302840"/>
          <w:sz w:val="20"/>
        </w:rPr>
        <w:t>•  SPF Économie : economie.fgov.be/fr/themes/marches-publics</w:t>
      </w:r>
    </w:p>
    <w:p>
      <w:pPr>
        <w:pStyle w:val="ListBullet"/>
        <w:spacing w:after="60"/>
      </w:pPr>
      <w:r>
        <w:rPr>
          <w:color w:val="302840"/>
          <w:sz w:val="20"/>
        </w:rPr>
        <w:t>•  Portail Wallonie : marchespublics.wallonie.be</w:t>
      </w:r>
    </w:p>
    <w:p>
      <w:pPr>
        <w:pStyle w:val="ListBullet"/>
        <w:spacing w:after="60"/>
      </w:pPr>
      <w:r>
        <w:rPr>
          <w:color w:val="302840"/>
          <w:sz w:val="20"/>
        </w:rPr>
        <w:t>•  e-Procurement : publicprocurement.be</w:t>
      </w:r>
    </w:p>
    <w:p/>
    <w:p>
      <w:pPr>
        <w:pBdr>
          <w:top w:val="single" w:sz="4" w:space="1" w:color="E4D9CC"/>
        </w:pBdr>
      </w:pPr>
      <w:r>
        <w:rPr>
          <w:i/>
          <w:color w:val="5E6B7D"/>
          <w:sz w:val="17"/>
        </w:rPr>
        <w:t>⚠  Avertissement : Ce document est fourni à titre pédagogique uniquement. Il ne constitue pas un avis juridique. Pour toute situation engageante, consultez un·e juriste ou un service compétent en marchés publics. marchépublic.be est un outil indépendant de Nomad Impact ASBL — non affilié à une autorité publique.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