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9FD240" w14:textId="77777777" w:rsidR="009D0C33" w:rsidRDefault="009D0C33">
      <w:pPr>
        <w:pStyle w:val="Heading1"/>
        <w:spacing w:after="60" w:line="240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3E51E713" w14:textId="77777777" w:rsidR="009D0C33" w:rsidRDefault="00E30243">
      <w:pPr>
        <w:pStyle w:val="Heading1"/>
        <w:spacing w:after="60" w:line="240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hAnsi="Calibri"/>
        </w:rPr>
        <w:t>Zprá</w:t>
      </w:r>
      <w:proofErr w:type="spellEnd"/>
      <w:r>
        <w:rPr>
          <w:rFonts w:ascii="Calibri" w:hAnsi="Calibri"/>
          <w:lang w:val="pt-PT"/>
        </w:rPr>
        <w:t xml:space="preserve">va o </w:t>
      </w:r>
      <w:proofErr w:type="spellStart"/>
      <w:r>
        <w:rPr>
          <w:rFonts w:ascii="Calibri" w:hAnsi="Calibri"/>
        </w:rPr>
        <w:t>činnosti</w:t>
      </w:r>
      <w:proofErr w:type="spellEnd"/>
      <w:r>
        <w:rPr>
          <w:rFonts w:ascii="Calibri" w:hAnsi="Calibri"/>
        </w:rPr>
        <w:t xml:space="preserve"> / </w:t>
      </w:r>
      <w:r>
        <w:rPr>
          <w:rFonts w:ascii="Calibri" w:hAnsi="Calibri"/>
          <w:i/>
          <w:iCs/>
        </w:rPr>
        <w:t>Activity report</w:t>
      </w:r>
      <w:r>
        <w:rPr>
          <w:rFonts w:ascii="Calibri" w:eastAsia="Calibri" w:hAnsi="Calibri" w:cs="Calibri"/>
          <w:i/>
          <w:iCs/>
          <w:vertAlign w:val="superscript"/>
        </w:rPr>
        <w:footnoteReference w:id="2"/>
      </w:r>
    </w:p>
    <w:p w14:paraId="671A8743" w14:textId="77777777" w:rsidR="009D0C33" w:rsidRDefault="009D0C33">
      <w:pPr>
        <w:spacing w:after="60" w:line="240" w:lineRule="auto"/>
      </w:pPr>
    </w:p>
    <w:tbl>
      <w:tblPr>
        <w:tblW w:w="96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24"/>
        <w:gridCol w:w="5216"/>
      </w:tblGrid>
      <w:tr w:rsidR="009D0C33" w14:paraId="24CD05FD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3FA7D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>Registra</w:t>
            </w:r>
            <w:proofErr w:type="spellStart"/>
            <w:r>
              <w:rPr>
                <w:b/>
                <w:bCs/>
              </w:rPr>
              <w:t>ční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číslo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projektu</w:t>
            </w:r>
            <w:proofErr w:type="spellEnd"/>
          </w:p>
          <w:p w14:paraId="1C6D95DB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Project registration number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AC38F" w14:textId="77777777" w:rsidR="009D0C33" w:rsidRDefault="00E30243">
            <w:pPr>
              <w:spacing w:after="60" w:line="240" w:lineRule="auto"/>
              <w:jc w:val="center"/>
            </w:pPr>
            <w:r>
              <w:t>CZ.02.2.69/0.0/0.0/16_027/0008482</w:t>
            </w:r>
          </w:p>
        </w:tc>
      </w:tr>
      <w:tr w:rsidR="009D0C33" w14:paraId="4F77407A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6B87DC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Název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projektu</w:t>
            </w:r>
            <w:proofErr w:type="spellEnd"/>
          </w:p>
          <w:p w14:paraId="0047F1AC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of the project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EF26E" w14:textId="77777777" w:rsidR="009D0C33" w:rsidRDefault="00E30243">
            <w:pPr>
              <w:spacing w:after="60" w:line="240" w:lineRule="auto"/>
              <w:jc w:val="center"/>
            </w:pPr>
            <w:r>
              <w:t xml:space="preserve">Support of Academic mobility at </w:t>
            </w:r>
            <w:proofErr w:type="spellStart"/>
            <w:r>
              <w:t>Palacky</w:t>
            </w:r>
            <w:proofErr w:type="spellEnd"/>
            <w:r>
              <w:t xml:space="preserve"> University Olomouc</w:t>
            </w:r>
          </w:p>
        </w:tc>
      </w:tr>
      <w:tr w:rsidR="009D0C33" w14:paraId="485E9950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15A5E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Název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příjemce</w:t>
            </w:r>
            <w:proofErr w:type="spellEnd"/>
          </w:p>
          <w:p w14:paraId="42249E04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of the beneficiary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CEDF70" w14:textId="77777777" w:rsidR="009D0C33" w:rsidRDefault="00E30243">
            <w:pPr>
              <w:spacing w:after="60" w:line="240" w:lineRule="auto"/>
              <w:jc w:val="center"/>
            </w:pPr>
            <w:r>
              <w:rPr>
                <w:lang w:val="es-ES_tradnl"/>
              </w:rPr>
              <w:t>Palack</w:t>
            </w:r>
            <w:r>
              <w:t>ý University Olomouc</w:t>
            </w:r>
          </w:p>
        </w:tc>
      </w:tr>
      <w:tr w:rsidR="009D0C33" w14:paraId="2E2F6196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C72CB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Název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klíčov</w:t>
            </w:r>
            <w:proofErr w:type="spellEnd"/>
            <w:r>
              <w:rPr>
                <w:b/>
                <w:bCs/>
                <w:lang w:val="fr-FR"/>
              </w:rPr>
              <w:t xml:space="preserve">é </w:t>
            </w:r>
            <w:proofErr w:type="spellStart"/>
            <w:r>
              <w:rPr>
                <w:b/>
                <w:bCs/>
              </w:rPr>
              <w:t>aktivity</w:t>
            </w:r>
            <w:proofErr w:type="spellEnd"/>
          </w:p>
          <w:p w14:paraId="743CC2B0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of the key activity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5DE56" w14:textId="77777777" w:rsidR="009D0C33" w:rsidRDefault="00E30243">
            <w:pPr>
              <w:spacing w:after="60" w:line="240" w:lineRule="auto"/>
              <w:jc w:val="center"/>
            </w:pPr>
            <w:proofErr w:type="spellStart"/>
            <w:r>
              <w:t>Podporovaná</w:t>
            </w:r>
            <w:proofErr w:type="spellEnd"/>
            <w:r>
              <w:t xml:space="preserve"> </w:t>
            </w:r>
            <w:proofErr w:type="spellStart"/>
            <w:r>
              <w:t>aktivita</w:t>
            </w:r>
            <w:proofErr w:type="spellEnd"/>
            <w:r>
              <w:t xml:space="preserve"> č. 1: </w:t>
            </w:r>
            <w:proofErr w:type="spellStart"/>
            <w:r>
              <w:t>Pracovní</w:t>
            </w:r>
            <w:proofErr w:type="spellEnd"/>
            <w:r>
              <w:t xml:space="preserve"> </w:t>
            </w:r>
            <w:proofErr w:type="spellStart"/>
            <w:r>
              <w:t>pobyty</w:t>
            </w:r>
            <w:proofErr w:type="spellEnd"/>
            <w:r>
              <w:t xml:space="preserve"> post-</w:t>
            </w:r>
            <w:proofErr w:type="spellStart"/>
            <w:r>
              <w:t>doků</w:t>
            </w:r>
            <w:proofErr w:type="spellEnd"/>
            <w:r>
              <w:t xml:space="preserve"> ze </w:t>
            </w:r>
            <w:proofErr w:type="spellStart"/>
            <w:r>
              <w:t>zahraničí</w:t>
            </w:r>
            <w:proofErr w:type="spellEnd"/>
            <w:r>
              <w:t xml:space="preserve"> v ČR - FF (</w:t>
            </w:r>
            <w:proofErr w:type="spellStart"/>
            <w:r>
              <w:t>mobilita</w:t>
            </w:r>
            <w:proofErr w:type="spellEnd"/>
            <w:r>
              <w:t xml:space="preserve"> č. 15)</w:t>
            </w:r>
          </w:p>
        </w:tc>
      </w:tr>
      <w:tr w:rsidR="009D0C33" w14:paraId="4670D276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F70E3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Jm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  <w:lang w:val="it-IT"/>
              </w:rPr>
              <w:t>no a p</w:t>
            </w:r>
            <w:proofErr w:type="spellStart"/>
            <w:r>
              <w:rPr>
                <w:b/>
                <w:bCs/>
              </w:rPr>
              <w:t>říjmení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výzkumn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ho </w:t>
            </w:r>
            <w:proofErr w:type="spellStart"/>
            <w:r>
              <w:rPr>
                <w:b/>
                <w:bCs/>
              </w:rPr>
              <w:t>pracovníka</w:t>
            </w:r>
            <w:proofErr w:type="spellEnd"/>
          </w:p>
          <w:p w14:paraId="4D5A938C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and surname of the researcher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DB4EF5" w14:textId="77777777" w:rsidR="009D0C33" w:rsidRDefault="00E30243">
            <w:pPr>
              <w:spacing w:after="60" w:line="240" w:lineRule="auto"/>
              <w:jc w:val="center"/>
            </w:pPr>
            <w:r>
              <w:rPr>
                <w:lang w:val="it-IT"/>
              </w:rPr>
              <w:t>Claudio J. Rodr</w:t>
            </w:r>
            <w:r>
              <w:t>í</w:t>
            </w:r>
            <w:r>
              <w:rPr>
                <w:lang w:val="es-ES_tradnl"/>
              </w:rPr>
              <w:t>guez H.</w:t>
            </w:r>
          </w:p>
        </w:tc>
      </w:tr>
      <w:tr w:rsidR="009D0C33" w14:paraId="0B7FB88D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6E151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Výše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úvazku</w:t>
            </w:r>
            <w:proofErr w:type="spellEnd"/>
          </w:p>
          <w:p w14:paraId="473EC235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Work load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D46BE" w14:textId="77777777" w:rsidR="009D0C33" w:rsidRDefault="00E30243">
            <w:pPr>
              <w:spacing w:after="60" w:line="240" w:lineRule="auto"/>
              <w:jc w:val="center"/>
            </w:pPr>
            <w:r>
              <w:t>1,0</w:t>
            </w:r>
          </w:p>
        </w:tc>
      </w:tr>
      <w:tr w:rsidR="009D0C33" w14:paraId="4C9C4C2A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79E50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Měsíc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rok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</w:p>
          <w:p w14:paraId="13E13988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Month and year of activity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8E169" w14:textId="2A31EADB" w:rsidR="009D0C33" w:rsidRDefault="00170D25">
            <w:pPr>
              <w:spacing w:after="60" w:line="240" w:lineRule="auto"/>
              <w:jc w:val="center"/>
            </w:pPr>
            <w:r>
              <w:rPr>
                <w:shd w:val="clear" w:color="auto" w:fill="FFFF00"/>
              </w:rPr>
              <w:t>January</w:t>
            </w:r>
            <w:r w:rsidR="00E30243">
              <w:rPr>
                <w:shd w:val="clear" w:color="auto" w:fill="FFFF00"/>
              </w:rPr>
              <w:t xml:space="preserve"> 201</w:t>
            </w:r>
            <w:r>
              <w:rPr>
                <w:shd w:val="clear" w:color="auto" w:fill="FFFF00"/>
              </w:rPr>
              <w:t>9</w:t>
            </w:r>
          </w:p>
        </w:tc>
      </w:tr>
      <w:tr w:rsidR="009D0C33" w14:paraId="33AAE3DB" w14:textId="77777777">
        <w:trPr>
          <w:trHeight w:val="86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CAFD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Pořadové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číslo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zprávy</w:t>
            </w:r>
            <w:proofErr w:type="spellEnd"/>
          </w:p>
          <w:p w14:paraId="08D21CB0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Serial number of activity report/total number of reports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33811" w14:textId="52333D4C" w:rsidR="009D0C33" w:rsidRDefault="00170D25">
            <w:pPr>
              <w:spacing w:after="60" w:line="240" w:lineRule="auto"/>
              <w:jc w:val="center"/>
            </w:pPr>
            <w:r>
              <w:t>5</w:t>
            </w:r>
            <w:r w:rsidR="00E30243">
              <w:rPr>
                <w:i/>
                <w:iCs/>
                <w:shd w:val="clear" w:color="auto" w:fill="FFFF00"/>
              </w:rPr>
              <w:t>/24</w:t>
            </w:r>
          </w:p>
        </w:tc>
      </w:tr>
    </w:tbl>
    <w:p w14:paraId="3DF40FD1" w14:textId="77777777" w:rsidR="009D0C33" w:rsidRDefault="009D0C33">
      <w:pPr>
        <w:widowControl w:val="0"/>
        <w:spacing w:after="60" w:line="240" w:lineRule="auto"/>
        <w:ind w:left="108" w:hanging="108"/>
      </w:pPr>
    </w:p>
    <w:p w14:paraId="570F94CC" w14:textId="77777777" w:rsidR="009D0C33" w:rsidRDefault="009D0C33">
      <w:pPr>
        <w:widowControl w:val="0"/>
        <w:spacing w:after="60" w:line="240" w:lineRule="auto"/>
      </w:pPr>
    </w:p>
    <w:p w14:paraId="0BCC4814" w14:textId="77777777" w:rsidR="009D0C33" w:rsidRDefault="009D0C33">
      <w:pPr>
        <w:spacing w:after="60" w:line="240" w:lineRule="auto"/>
        <w:rPr>
          <w:b/>
          <w:bCs/>
          <w:color w:val="003399"/>
          <w:u w:color="003399"/>
        </w:rPr>
      </w:pPr>
    </w:p>
    <w:p w14:paraId="36F5E54F" w14:textId="77777777" w:rsidR="009D0C33" w:rsidRDefault="00E30243">
      <w:pPr>
        <w:spacing w:after="60" w:line="240" w:lineRule="auto"/>
      </w:pPr>
      <w:r>
        <w:rPr>
          <w:rFonts w:ascii="Arial Unicode MS" w:eastAsia="Arial Unicode MS" w:hAnsi="Arial Unicode MS" w:cs="Arial Unicode MS"/>
          <w:color w:val="003399"/>
          <w:u w:color="003399"/>
        </w:rPr>
        <w:br w:type="page"/>
      </w:r>
    </w:p>
    <w:tbl>
      <w:tblPr>
        <w:tblW w:w="960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06"/>
      </w:tblGrid>
      <w:tr w:rsidR="009D0C33" w14:paraId="7F811DE6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ACA77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Popis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v </w:t>
            </w:r>
            <w:proofErr w:type="spellStart"/>
            <w:r>
              <w:rPr>
                <w:b/>
                <w:bCs/>
              </w:rPr>
              <w:t>uveden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měsíci</w:t>
            </w:r>
            <w:proofErr w:type="spellEnd"/>
          </w:p>
          <w:p w14:paraId="25E5E4A4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</w:rPr>
              <w:t>Description of work in reference period / month</w:t>
            </w:r>
          </w:p>
        </w:tc>
      </w:tr>
      <w:tr w:rsidR="009D0C33" w14:paraId="1711D8B7" w14:textId="77777777">
        <w:trPr>
          <w:trHeight w:val="3074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21F96" w14:textId="7F0F8A0F" w:rsidR="00170D25" w:rsidRPr="00170D25" w:rsidRDefault="00170D25">
            <w:pPr>
              <w:spacing w:after="60" w:line="240" w:lineRule="auto"/>
              <w:jc w:val="both"/>
            </w:pPr>
            <w:r>
              <w:t xml:space="preserve">During January I corrected my paper “Productive Perils” to be published on </w:t>
            </w:r>
            <w:r>
              <w:rPr>
                <w:i/>
              </w:rPr>
              <w:t>Linguistic Frontiers</w:t>
            </w:r>
            <w:r>
              <w:t xml:space="preserve">. I also submitted an abstract (“A Framework for (Social) </w:t>
            </w:r>
            <w:proofErr w:type="spellStart"/>
            <w:r>
              <w:t>Resemantization</w:t>
            </w:r>
            <w:proofErr w:type="spellEnd"/>
            <w:r>
              <w:t xml:space="preserve">”) for the Tartu Semiotics Summer School 2019 and prepared the course “Basics of Cognitive Semiotics” currently offered by the Department of General Linguistics. I also continued my work on </w:t>
            </w:r>
            <w:r>
              <w:rPr>
                <w:i/>
              </w:rPr>
              <w:t>Linguistic Frontiers</w:t>
            </w:r>
            <w:r>
              <w:t xml:space="preserve"> and a paper to be submitted soon.</w:t>
            </w:r>
          </w:p>
          <w:p w14:paraId="1764F4D9" w14:textId="123070A4" w:rsidR="009D0C33" w:rsidRDefault="009D0C33">
            <w:pPr>
              <w:spacing w:after="60" w:line="240" w:lineRule="auto"/>
              <w:jc w:val="both"/>
            </w:pPr>
          </w:p>
        </w:tc>
      </w:tr>
      <w:tr w:rsidR="009D0C33" w14:paraId="68723768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39A95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Prohlášení</w:t>
            </w:r>
            <w:proofErr w:type="spellEnd"/>
            <w:r>
              <w:rPr>
                <w:b/>
                <w:bCs/>
              </w:rPr>
              <w:t xml:space="preserve"> o </w:t>
            </w:r>
            <w:proofErr w:type="spellStart"/>
            <w:r>
              <w:rPr>
                <w:b/>
                <w:bCs/>
              </w:rPr>
              <w:t>nehospodářské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5F3DFF26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</w:rPr>
              <w:t>Declaration of non-economic activity performance</w:t>
            </w:r>
          </w:p>
        </w:tc>
      </w:tr>
      <w:tr w:rsidR="009D0C33" w14:paraId="103462A3" w14:textId="77777777">
        <w:trPr>
          <w:trHeight w:val="3169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4927C" w14:textId="77777777" w:rsidR="009D0C33" w:rsidRDefault="00E30243">
            <w:pPr>
              <w:spacing w:after="60" w:line="240" w:lineRule="auto"/>
            </w:pPr>
            <w:r>
              <w:t>I declare that I have only performed non-economic activities throughout this period.</w:t>
            </w:r>
          </w:p>
        </w:tc>
      </w:tr>
      <w:tr w:rsidR="009D0C33" w14:paraId="1AEE1FED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8B48C" w14:textId="77777777" w:rsidR="009D0C33" w:rsidRDefault="00E30243">
            <w:pPr>
              <w:keepNext/>
              <w:keepLines/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Př</w:t>
            </w:r>
            <w:proofErr w:type="spellEnd"/>
            <w:r>
              <w:rPr>
                <w:b/>
                <w:bCs/>
                <w:lang w:val="de-DE"/>
              </w:rPr>
              <w:t>eru</w:t>
            </w:r>
            <w:proofErr w:type="spellStart"/>
            <w:r>
              <w:rPr>
                <w:b/>
                <w:bCs/>
              </w:rPr>
              <w:t>šení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v </w:t>
            </w:r>
            <w:proofErr w:type="spellStart"/>
            <w:r>
              <w:rPr>
                <w:b/>
                <w:bCs/>
              </w:rPr>
              <w:t>uveden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měsíci</w:t>
            </w:r>
            <w:proofErr w:type="spellEnd"/>
          </w:p>
          <w:p w14:paraId="7CF34013" w14:textId="77777777" w:rsidR="009D0C33" w:rsidRDefault="00E30243">
            <w:pPr>
              <w:keepNext/>
              <w:keepLines/>
              <w:spacing w:after="60" w:line="240" w:lineRule="auto"/>
              <w:jc w:val="center"/>
            </w:pPr>
            <w:r>
              <w:rPr>
                <w:i/>
                <w:iCs/>
              </w:rPr>
              <w:t>Interruption of work in reference period / month</w:t>
            </w:r>
          </w:p>
        </w:tc>
      </w:tr>
      <w:tr w:rsidR="009D0C33" w14:paraId="5B2E7E39" w14:textId="77777777">
        <w:trPr>
          <w:trHeight w:val="272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B86DD" w14:textId="61F951F4" w:rsidR="009D0C33" w:rsidRDefault="00170D25">
            <w:pPr>
              <w:keepNext/>
              <w:keepLines/>
              <w:spacing w:after="60" w:line="240" w:lineRule="auto"/>
            </w:pPr>
            <w:r>
              <w:t>None.</w:t>
            </w:r>
          </w:p>
          <w:p w14:paraId="388195DE" w14:textId="77777777" w:rsidR="009D0C33" w:rsidRDefault="009D0C33">
            <w:pPr>
              <w:keepNext/>
              <w:keepLines/>
              <w:spacing w:after="60" w:line="240" w:lineRule="auto"/>
              <w:rPr>
                <w:i/>
                <w:iCs/>
                <w:shd w:val="clear" w:color="auto" w:fill="C0C0C0"/>
              </w:rPr>
            </w:pPr>
          </w:p>
          <w:p w14:paraId="5E5F275C" w14:textId="77777777" w:rsidR="009D0C33" w:rsidRDefault="009D0C33">
            <w:pPr>
              <w:keepNext/>
              <w:keepLines/>
              <w:spacing w:after="60" w:line="240" w:lineRule="auto"/>
              <w:rPr>
                <w:i/>
                <w:iCs/>
                <w:shd w:val="clear" w:color="auto" w:fill="C0C0C0"/>
              </w:rPr>
            </w:pPr>
          </w:p>
          <w:p w14:paraId="0375D9BB" w14:textId="77777777" w:rsidR="009D0C33" w:rsidRDefault="009D0C33">
            <w:pPr>
              <w:keepNext/>
              <w:keepLines/>
              <w:spacing w:after="60" w:line="240" w:lineRule="auto"/>
            </w:pPr>
          </w:p>
        </w:tc>
      </w:tr>
    </w:tbl>
    <w:p w14:paraId="21AD3FC1" w14:textId="77777777" w:rsidR="009D0C33" w:rsidRDefault="009D0C33">
      <w:pPr>
        <w:widowControl w:val="0"/>
        <w:spacing w:after="60" w:line="240" w:lineRule="auto"/>
        <w:ind w:left="108" w:hanging="108"/>
        <w:rPr>
          <w:rFonts w:ascii="Arial Unicode MS" w:eastAsia="Arial Unicode MS" w:hAnsi="Arial Unicode MS" w:cs="Arial Unicode MS"/>
          <w:color w:val="003399"/>
          <w:u w:color="003399"/>
        </w:rPr>
      </w:pPr>
    </w:p>
    <w:p w14:paraId="0E7389EF" w14:textId="77777777" w:rsidR="009D0C33" w:rsidRDefault="009D0C33">
      <w:pPr>
        <w:widowControl w:val="0"/>
        <w:spacing w:after="60" w:line="240" w:lineRule="auto"/>
        <w:rPr>
          <w:b/>
          <w:bCs/>
          <w:color w:val="003399"/>
          <w:u w:color="003399"/>
        </w:rPr>
      </w:pPr>
    </w:p>
    <w:p w14:paraId="017F5FDC" w14:textId="77777777" w:rsidR="009D0C33" w:rsidRDefault="00E30243">
      <w:pPr>
        <w:spacing w:after="60" w:line="240" w:lineRule="auto"/>
      </w:pPr>
      <w:r>
        <w:rPr>
          <w:rFonts w:ascii="Arial Unicode MS" w:eastAsia="Arial Unicode MS" w:hAnsi="Arial Unicode MS" w:cs="Arial Unicode MS"/>
        </w:rPr>
        <w:br w:type="page"/>
      </w:r>
    </w:p>
    <w:tbl>
      <w:tblPr>
        <w:tblW w:w="960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06"/>
      </w:tblGrid>
      <w:tr w:rsidR="009D0C33" w14:paraId="361F2AA4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D19B9" w14:textId="77777777" w:rsidR="009D0C33" w:rsidRDefault="00E30243">
            <w:pPr>
              <w:keepNext/>
              <w:keepLines/>
              <w:spacing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Hodinová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dotace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započtená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bagatelní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podpory</w:t>
            </w:r>
            <w:proofErr w:type="spellEnd"/>
          </w:p>
          <w:p w14:paraId="5620746C" w14:textId="77777777" w:rsidR="009D0C33" w:rsidRDefault="00E30243">
            <w:pPr>
              <w:keepNext/>
              <w:keepLines/>
              <w:spacing w:after="60" w:line="240" w:lineRule="auto"/>
              <w:jc w:val="center"/>
            </w:pPr>
            <w:r>
              <w:rPr>
                <w:b/>
                <w:bCs/>
                <w:i/>
                <w:iCs/>
                <w:shd w:val="clear" w:color="auto" w:fill="C0C0C0"/>
              </w:rPr>
              <w:t>Working time counted into the small-scale aid</w:t>
            </w:r>
          </w:p>
        </w:tc>
      </w:tr>
    </w:tbl>
    <w:p w14:paraId="64B397D0" w14:textId="77777777" w:rsidR="009D0C33" w:rsidRDefault="009D0C33">
      <w:pPr>
        <w:widowControl w:val="0"/>
        <w:spacing w:after="60" w:line="240" w:lineRule="auto"/>
        <w:ind w:left="108" w:hanging="108"/>
        <w:rPr>
          <w:rFonts w:ascii="Arial Unicode MS" w:eastAsia="Arial Unicode MS" w:hAnsi="Arial Unicode MS" w:cs="Arial Unicode MS"/>
        </w:rPr>
      </w:pPr>
    </w:p>
    <w:p w14:paraId="58D3F648" w14:textId="77777777" w:rsidR="009D0C33" w:rsidRDefault="009D0C33">
      <w:pPr>
        <w:widowControl w:val="0"/>
        <w:spacing w:after="60" w:line="240" w:lineRule="auto"/>
      </w:pPr>
    </w:p>
    <w:tbl>
      <w:tblPr>
        <w:tblW w:w="960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605"/>
        <w:gridCol w:w="5001"/>
      </w:tblGrid>
      <w:tr w:rsidR="009D0C33" w14:paraId="5C6D9B88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FB53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Měsíční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časová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dotace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fondu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doby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</w:t>
            </w:r>
            <w:proofErr w:type="spellEnd"/>
            <w:r>
              <w:rPr>
                <w:b/>
                <w:bCs/>
              </w:rPr>
              <w:t> </w:t>
            </w:r>
            <w:proofErr w:type="spellStart"/>
            <w:r>
              <w:rPr>
                <w:b/>
                <w:bCs/>
              </w:rPr>
              <w:t>sledovan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měsíci</w:t>
            </w:r>
            <w:proofErr w:type="spellEnd"/>
          </w:p>
          <w:p w14:paraId="390590D2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Monthly time allowance of the working time fund during the reference period/month.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190D2" w14:textId="42611E0F" w:rsidR="009D0C33" w:rsidRDefault="009D0C33">
            <w:pPr>
              <w:spacing w:after="60" w:line="240" w:lineRule="auto"/>
            </w:pPr>
          </w:p>
        </w:tc>
      </w:tr>
      <w:tr w:rsidR="009D0C33" w14:paraId="5769CA0A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A90A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Doba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př</w:t>
            </w:r>
            <w:proofErr w:type="spellEnd"/>
            <w:r>
              <w:rPr>
                <w:b/>
                <w:bCs/>
                <w:lang w:val="de-DE"/>
              </w:rPr>
              <w:t>eru</w:t>
            </w:r>
            <w:proofErr w:type="spellStart"/>
            <w:r>
              <w:rPr>
                <w:b/>
                <w:bCs/>
              </w:rPr>
              <w:t>šení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sledovan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měsíci</w:t>
            </w:r>
            <w:proofErr w:type="spellEnd"/>
          </w:p>
          <w:p w14:paraId="0C05CF69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Interruption of work in reference period/month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29C7A" w14:textId="22CAEB22" w:rsidR="009D0C33" w:rsidRDefault="009D0C33">
            <w:pPr>
              <w:spacing w:after="60" w:line="240" w:lineRule="auto"/>
            </w:pPr>
            <w:bookmarkStart w:id="0" w:name="_GoBack"/>
            <w:bookmarkEnd w:id="0"/>
          </w:p>
        </w:tc>
      </w:tr>
      <w:tr w:rsidR="009D0C33" w14:paraId="54B9D7E0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8B3AF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Celková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doba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sledovan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měsíci</w:t>
            </w:r>
            <w:proofErr w:type="spellEnd"/>
          </w:p>
          <w:p w14:paraId="0191F015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Total working time in the reference period/month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40F3F" w14:textId="058B0C3C" w:rsidR="009D0C33" w:rsidRDefault="009D0C33">
            <w:pPr>
              <w:spacing w:after="60" w:line="240" w:lineRule="auto"/>
            </w:pPr>
          </w:p>
        </w:tc>
      </w:tr>
      <w:tr w:rsidR="009D0C33" w14:paraId="0D72743A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9891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Kumulativní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doba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počátku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realizace</w:t>
            </w:r>
            <w:proofErr w:type="spellEnd"/>
            <w:r>
              <w:rPr>
                <w:b/>
                <w:bCs/>
              </w:rPr>
              <w:t xml:space="preserve"> mobility</w:t>
            </w:r>
          </w:p>
          <w:p w14:paraId="0438FDF9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Cumulative working hours since the beginning of the mobility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3E059" w14:textId="4FB8F490" w:rsidR="009D0C33" w:rsidRDefault="009D0C33">
            <w:pPr>
              <w:spacing w:after="60" w:line="240" w:lineRule="auto"/>
            </w:pPr>
          </w:p>
        </w:tc>
      </w:tr>
    </w:tbl>
    <w:p w14:paraId="7AE189E4" w14:textId="77777777" w:rsidR="009D0C33" w:rsidRDefault="009D0C33">
      <w:pPr>
        <w:widowControl w:val="0"/>
        <w:spacing w:after="60" w:line="240" w:lineRule="auto"/>
        <w:ind w:left="108" w:hanging="108"/>
      </w:pPr>
    </w:p>
    <w:p w14:paraId="3973F234" w14:textId="77777777" w:rsidR="009D0C33" w:rsidRDefault="009D0C33">
      <w:pPr>
        <w:widowControl w:val="0"/>
        <w:spacing w:after="60" w:line="240" w:lineRule="auto"/>
      </w:pPr>
    </w:p>
    <w:p w14:paraId="301F90D4" w14:textId="77777777" w:rsidR="009D0C33" w:rsidRDefault="009D0C33"/>
    <w:p w14:paraId="4603E9FC" w14:textId="77777777" w:rsidR="009D0C33" w:rsidRDefault="009D0C33"/>
    <w:tbl>
      <w:tblPr>
        <w:tblW w:w="963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89"/>
        <w:gridCol w:w="2315"/>
        <w:gridCol w:w="2315"/>
        <w:gridCol w:w="2315"/>
      </w:tblGrid>
      <w:tr w:rsidR="009D0C33" w14:paraId="2952A772" w14:textId="77777777">
        <w:trPr>
          <w:trHeight w:val="60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441A4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6E2EE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Jm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no</w:t>
            </w:r>
          </w:p>
          <w:p w14:paraId="12FCA0B3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  <w:lang w:val="de-DE"/>
              </w:rPr>
              <w:t>Name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DBD83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Podpis</w:t>
            </w:r>
            <w:proofErr w:type="spellEnd"/>
          </w:p>
          <w:p w14:paraId="244BECD6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</w:rPr>
              <w:t>Signature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98199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>Datum</w:t>
            </w:r>
          </w:p>
          <w:p w14:paraId="407D7DDF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  <w:lang w:val="de-DE"/>
              </w:rPr>
              <w:t>Date</w:t>
            </w:r>
          </w:p>
        </w:tc>
      </w:tr>
      <w:tr w:rsidR="009D0C33" w14:paraId="2CC7D3E0" w14:textId="77777777">
        <w:trPr>
          <w:trHeight w:val="60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E90E3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Výzkumný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pracovník</w:t>
            </w:r>
            <w:proofErr w:type="spellEnd"/>
          </w:p>
          <w:p w14:paraId="75393173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Researcher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AF294" w14:textId="77777777" w:rsidR="009D0C33" w:rsidRDefault="00E30243">
            <w:pPr>
              <w:spacing w:after="60" w:line="240" w:lineRule="auto"/>
              <w:jc w:val="center"/>
            </w:pPr>
            <w:r>
              <w:rPr>
                <w:lang w:val="it-IT"/>
              </w:rPr>
              <w:t>Claudio J. Rodr</w:t>
            </w:r>
            <w:r>
              <w:t>í</w:t>
            </w:r>
            <w:r>
              <w:rPr>
                <w:lang w:val="es-ES_tradnl"/>
              </w:rPr>
              <w:t>guez H.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8DD86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73BA4" w14:textId="77777777" w:rsidR="009D0C33" w:rsidRDefault="009D0C33"/>
        </w:tc>
      </w:tr>
      <w:tr w:rsidR="009D0C33" w14:paraId="4354C105" w14:textId="77777777">
        <w:trPr>
          <w:trHeight w:val="86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8154A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Mentor (</w:t>
            </w:r>
            <w:proofErr w:type="spellStart"/>
            <w:r>
              <w:rPr>
                <w:b/>
                <w:bCs/>
                <w:i/>
                <w:iCs/>
              </w:rPr>
              <w:t>pokud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relevantní</w:t>
            </w:r>
            <w:proofErr w:type="spellEnd"/>
            <w:r>
              <w:rPr>
                <w:b/>
                <w:bCs/>
              </w:rPr>
              <w:t>)</w:t>
            </w:r>
          </w:p>
          <w:p w14:paraId="7BF57459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Mentor (if relevant)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D6A94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6E6723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78C78" w14:textId="77777777" w:rsidR="009D0C33" w:rsidRDefault="009D0C33"/>
        </w:tc>
      </w:tr>
      <w:tr w:rsidR="009D0C33" w14:paraId="32CC8C16" w14:textId="77777777">
        <w:trPr>
          <w:trHeight w:val="111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DA619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Statut</w:t>
            </w:r>
            <w:proofErr w:type="spellStart"/>
            <w:r>
              <w:rPr>
                <w:b/>
                <w:bCs/>
              </w:rPr>
              <w:t>ární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orgán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příjemce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6059D948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Statutory body of the beneficiary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194F1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EBD012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9A1963" w14:textId="77777777" w:rsidR="009D0C33" w:rsidRDefault="009D0C33"/>
        </w:tc>
      </w:tr>
    </w:tbl>
    <w:p w14:paraId="6C26E668" w14:textId="77777777" w:rsidR="009D0C33" w:rsidRDefault="009D0C33">
      <w:pPr>
        <w:widowControl w:val="0"/>
        <w:spacing w:line="240" w:lineRule="auto"/>
        <w:ind w:left="108" w:hanging="108"/>
      </w:pPr>
    </w:p>
    <w:sectPr w:rsidR="009D0C33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11E12" w14:textId="77777777" w:rsidR="009B45B5" w:rsidRDefault="009B45B5">
      <w:pPr>
        <w:spacing w:after="0" w:line="240" w:lineRule="auto"/>
      </w:pPr>
      <w:r>
        <w:separator/>
      </w:r>
    </w:p>
  </w:endnote>
  <w:endnote w:type="continuationSeparator" w:id="0">
    <w:p w14:paraId="6DD238F4" w14:textId="77777777" w:rsidR="009B45B5" w:rsidRDefault="009B4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D099C" w14:textId="77777777" w:rsidR="009D0C33" w:rsidRDefault="00E30243">
    <w:pPr>
      <w:pStyle w:val="Footer"/>
      <w:tabs>
        <w:tab w:val="clear" w:pos="9072"/>
        <w:tab w:val="right" w:pos="9046"/>
      </w:tabs>
      <w:jc w:val="center"/>
    </w:pPr>
    <w:proofErr w:type="spellStart"/>
    <w:r>
      <w:rPr>
        <w:rFonts w:ascii="Arial" w:hAnsi="Arial"/>
        <w:color w:val="3B3838"/>
        <w:sz w:val="20"/>
        <w:szCs w:val="20"/>
        <w:u w:color="3B3838"/>
      </w:rPr>
      <w:t>Podpora</w:t>
    </w:r>
    <w:proofErr w:type="spellEnd"/>
    <w:r>
      <w:rPr>
        <w:rFonts w:ascii="Arial" w:hAnsi="Arial"/>
        <w:color w:val="3B3838"/>
        <w:sz w:val="20"/>
        <w:szCs w:val="20"/>
        <w:u w:color="3B3838"/>
      </w:rPr>
      <w:t xml:space="preserve"> mobility </w:t>
    </w:r>
    <w:proofErr w:type="spellStart"/>
    <w:r>
      <w:rPr>
        <w:rFonts w:ascii="Arial" w:hAnsi="Arial"/>
        <w:color w:val="3B3838"/>
        <w:sz w:val="20"/>
        <w:szCs w:val="20"/>
        <w:u w:color="3B3838"/>
      </w:rPr>
      <w:t>na</w:t>
    </w:r>
    <w:proofErr w:type="spellEnd"/>
    <w:r>
      <w:rPr>
        <w:rFonts w:ascii="Arial" w:hAnsi="Arial"/>
        <w:color w:val="3B3838"/>
        <w:sz w:val="20"/>
        <w:szCs w:val="20"/>
        <w:u w:color="3B3838"/>
      </w:rPr>
      <w:t xml:space="preserve"> UP, CZ.02.2.69/0.0/0.0/16_027/0008482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64028" w14:textId="77777777" w:rsidR="009B45B5" w:rsidRDefault="009B45B5">
      <w:r>
        <w:separator/>
      </w:r>
    </w:p>
  </w:footnote>
  <w:footnote w:type="continuationSeparator" w:id="0">
    <w:p w14:paraId="6E891012" w14:textId="77777777" w:rsidR="009B45B5" w:rsidRDefault="009B45B5">
      <w:r>
        <w:continuationSeparator/>
      </w:r>
    </w:p>
  </w:footnote>
  <w:footnote w:type="continuationNotice" w:id="1">
    <w:p w14:paraId="2CFEB8A2" w14:textId="77777777" w:rsidR="009B45B5" w:rsidRDefault="009B45B5"/>
  </w:footnote>
  <w:footnote w:id="2">
    <w:p w14:paraId="256AED80" w14:textId="77777777" w:rsidR="009D0C33" w:rsidRDefault="00E30243">
      <w:pPr>
        <w:pStyle w:val="FootnoteText"/>
      </w:pPr>
      <w:r>
        <w:rPr>
          <w:rFonts w:ascii="Calibri" w:eastAsia="Calibri" w:hAnsi="Calibri" w:cs="Calibri"/>
          <w:b/>
          <w:bCs/>
          <w:i/>
          <w:iCs/>
          <w:vertAlign w:val="superscript"/>
        </w:rPr>
        <w:footnoteRef/>
      </w:r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Zpráva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může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být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vyplněna</w:t>
      </w:r>
      <w:proofErr w:type="spellEnd"/>
      <w:r>
        <w:rPr>
          <w:rFonts w:eastAsia="Arial Unicode MS" w:cs="Arial Unicode MS"/>
        </w:rPr>
        <w:t xml:space="preserve"> v </w:t>
      </w:r>
      <w:proofErr w:type="spellStart"/>
      <w:r>
        <w:rPr>
          <w:rFonts w:eastAsia="Arial Unicode MS" w:cs="Arial Unicode MS"/>
        </w:rPr>
        <w:t>anglick</w:t>
      </w:r>
      <w:proofErr w:type="spellEnd"/>
      <w:r>
        <w:rPr>
          <w:rFonts w:eastAsia="Arial Unicode MS" w:cs="Arial Unicode MS"/>
          <w:lang w:val="fr-FR"/>
        </w:rPr>
        <w:t>é</w:t>
      </w:r>
      <w:r>
        <w:rPr>
          <w:rFonts w:eastAsia="Arial Unicode MS" w:cs="Arial Unicode MS"/>
        </w:rPr>
        <w:t xml:space="preserve">m </w:t>
      </w:r>
      <w:proofErr w:type="spellStart"/>
      <w:r>
        <w:rPr>
          <w:rFonts w:eastAsia="Arial Unicode MS" w:cs="Arial Unicode MS"/>
        </w:rPr>
        <w:t>jazyce</w:t>
      </w:r>
      <w:proofErr w:type="spellEnd"/>
      <w:r>
        <w:rPr>
          <w:rFonts w:eastAsia="Arial Unicode MS" w:cs="Arial Unicode MS"/>
        </w:rPr>
        <w:t xml:space="preserve"> / </w:t>
      </w:r>
      <w:r>
        <w:rPr>
          <w:rFonts w:eastAsia="Arial Unicode MS" w:cs="Arial Unicode MS"/>
          <w:i/>
          <w:iCs/>
        </w:rPr>
        <w:t>The report can be filled in English language.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5736F" w14:textId="77777777" w:rsidR="009D0C33" w:rsidRDefault="00E30243">
    <w:pPr>
      <w:pStyle w:val="Header"/>
      <w:tabs>
        <w:tab w:val="clear" w:pos="9072"/>
        <w:tab w:val="right" w:pos="9046"/>
      </w:tabs>
      <w:jc w:val="center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5C123AA8" wp14:editId="42612F93">
          <wp:simplePos x="0" y="0"/>
          <wp:positionH relativeFrom="page">
            <wp:posOffset>1419224</wp:posOffset>
          </wp:positionH>
          <wp:positionV relativeFrom="page">
            <wp:posOffset>142875</wp:posOffset>
          </wp:positionV>
          <wp:extent cx="4610100" cy="1028700"/>
          <wp:effectExtent l="0" t="0" r="0" b="0"/>
          <wp:wrapNone/>
          <wp:docPr id="1073741825" name="officeArt object" descr="D:\VTP\PROJEKTY\logolinky\logolink_MSMT_VVV_hor_cb_cz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D:\VTP\PROJEKTY\logolinky\logolink_MSMT_VVV_hor_cb_cz.jpg" descr="D:\VTP\PROJEKTY\logolinky\logolink_MSMT_VVV_hor_cb_cz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10100" cy="1028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4AFA59F1" w14:textId="77777777" w:rsidR="009D0C33" w:rsidRDefault="009D0C33">
    <w:pPr>
      <w:pStyle w:val="Header"/>
      <w:tabs>
        <w:tab w:val="clear" w:pos="9072"/>
        <w:tab w:val="right" w:pos="9046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C33"/>
    <w:rsid w:val="00170D25"/>
    <w:rsid w:val="00343E4C"/>
    <w:rsid w:val="009B45B5"/>
    <w:rsid w:val="009D0C33"/>
    <w:rsid w:val="00E3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3E90"/>
  <w15:docId w15:val="{EE39EAE6-0624-4B12-A68B-736C2B1B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1">
    <w:name w:val="heading 1"/>
    <w:next w:val="Normal"/>
    <w:uiPriority w:val="9"/>
    <w:qFormat/>
    <w:pPr>
      <w:keepNext/>
      <w:keepLines/>
      <w:spacing w:after="200" w:line="276" w:lineRule="auto"/>
      <w:outlineLvl w:val="0"/>
    </w:pPr>
    <w:rPr>
      <w:rFonts w:ascii="Arial" w:eastAsia="Arial" w:hAnsi="Arial" w:cs="Arial"/>
      <w:b/>
      <w:bCs/>
      <w:color w:val="003399"/>
      <w:sz w:val="28"/>
      <w:szCs w:val="28"/>
      <w:u w:color="00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36"/>
        <w:tab w:val="right" w:pos="9072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536"/>
        <w:tab w:val="right" w:pos="9072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FootnoteText">
    <w:name w:val="footnote text"/>
    <w:rPr>
      <w:rFonts w:ascii="Arial" w:eastAsia="Arial" w:hAnsi="Arial" w:cs="Arial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Motiv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iv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Rodriguez Higuera Claudio</cp:lastModifiedBy>
  <cp:revision>3</cp:revision>
  <dcterms:created xsi:type="dcterms:W3CDTF">2019-02-23T19:17:00Z</dcterms:created>
  <dcterms:modified xsi:type="dcterms:W3CDTF">2019-02-28T15:38:00Z</dcterms:modified>
</cp:coreProperties>
</file>