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CB0" w:rsidRDefault="003921D6">
      <w:pPr>
        <w:pStyle w:val="CK12ChapterTitle"/>
      </w:pPr>
      <w:r>
        <w:t xml:space="preserve"> Variable Expressions </w:t>
      </w:r>
    </w:p>
    <w:p w:rsidR="00FC5CB0" w:rsidRDefault="003921D6">
      <w:pPr>
        <w:pStyle w:val="CK12SectionTitle"/>
      </w:pPr>
      <w:r>
        <w:t xml:space="preserve"> Learning Objectives </w:t>
      </w:r>
    </w:p>
    <w:p w:rsidR="00FC5CB0" w:rsidRDefault="003921D6">
      <w:pPr>
        <w:pStyle w:val="CK12LessonBase"/>
      </w:pPr>
      <w:r>
        <w:t xml:space="preserve"> The International Day of the World's Indigenous People was first pronounced by the General Assembly of the United Nations in December 1994, to be celebrated every year during the first International Decade of the World's Indigenous People (1995 </w:t>
      </w:r>
      <w:r>
        <w:t>–</w:t>
      </w:r>
      <w:r>
        <w:t xml:space="preserve"> 2004). </w:t>
      </w:r>
      <w:r w:rsidR="00D57D64">
        <w:rPr>
          <w:noProof/>
        </w:rPr>
        <w:drawing>
          <wp:inline distT="0" distB="0" distL="0" distR="0">
            <wp:extent cx="2667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trans.png"/>
                    <pic:cNvPicPr/>
                  </pic:nvPicPr>
                  <pic:blipFill>
                    <a:blip r:embed="rId6">
                      <a:extLst>
                        <a:ext uri="{28A0092B-C50C-407E-A947-70E740481C1C}">
                          <a14:useLocalDpi xmlns:a14="http://schemas.microsoft.com/office/drawing/2010/main" val="0"/>
                        </a:ext>
                      </a:extLst>
                    </a:blip>
                    <a:stretch>
                      <a:fillRect/>
                    </a:stretch>
                  </pic:blipFill>
                  <pic:spPr>
                    <a:xfrm>
                      <a:off x="0" y="0"/>
                      <a:ext cx="266667" cy="266667"/>
                    </a:xfrm>
                    <a:prstGeom prst="rect">
                      <a:avLst/>
                    </a:prstGeom>
                  </pic:spPr>
                </pic:pic>
              </a:graphicData>
            </a:graphic>
          </wp:inline>
        </w:drawing>
      </w:r>
      <w:r w:rsidR="00D57D64">
        <w:t xml:space="preserve"> </w:t>
      </w:r>
      <w:bookmarkStart w:name="_GoBack" w:id="0"/>
      <w:bookmarkEnd w:id="0"/>
      <w:r>
        <w:t xml:space="preserve">In 2004, the Assembly proclaimed a Second International Decade, from 2005 </w:t>
      </w:r>
      <w:r>
        <w:t>–</w:t>
      </w:r>
      <w:r>
        <w:t xml:space="preserve"> 2015, with the theme of </w:t>
      </w:r>
      <w:r>
        <w:t>“</w:t>
      </w:r>
      <w:r>
        <w:t>A Decade for Action and Dignity.</w:t>
      </w:r>
      <w:r>
        <w:t>”</w:t>
      </w:r>
      <w:r>
        <w:t>[1] People from different nations are encouraged to participate in observing the day to spread the UN</w:t>
      </w:r>
      <w:r>
        <w:t>’</w:t>
      </w:r>
      <w:r>
        <w:t>s message on indigenous peoples. Activities may include educational forums and classroom activities to gain an appreciation and a better understanding of indigenous peoples.[2]</w:t>
      </w:r>
    </w:p>
    <w:p w:rsidR="00FA3B1A" w:rsidP="00962734" w:rsidRDefault="00962734">
      <w:pPr>
        <w:pStyle w:val="CK12BlockImage"/>
      </w:pPr>
      <w:r w:rsidRPr="00962734">
        <w:rPr>
          <w:noProof/>
        </w:rPr>
        <w:drawing>
          <wp:inline distT="0" distB="0" distL="0" distR="0" wp14:anchorId="64F87A61" wp14:editId="2B7BC903">
            <wp:extent cx="3416300"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6300" cy="2562225"/>
                    </a:xfrm>
                    <a:prstGeom prst="rect">
                      <a:avLst/>
                    </a:prstGeom>
                  </pic:spPr>
                </pic:pic>
              </a:graphicData>
            </a:graphic>
          </wp:inline>
        </w:drawing>
      </w:r>
    </w:p>
    <w:p w:rsidR="00FA3B1A" w:rsidRDefault="00FA3B1A">
      <w:pPr>
        <w:pStyle w:val="CK12LessonBase"/>
      </w:pPr>
    </w:p>
    <w:p w:rsidR="00FC5CB0" w:rsidRDefault="00962734">
      <w:pPr>
        <w:pStyle w:val="CK12LessonBase"/>
      </w:pPr>
      <w:r>
        <w:rPr>
          <w:noProof/>
        </w:rPr>
        <w:drawing>
          <wp:anchor distT="0" distB="0" distL="114300" distR="114300" simplePos="0" relativeHeight="251658240" behindDoc="0" locked="0" layoutInCell="1" allowOverlap="1" wp14:editId="7E0CAD6A" wp14:anchorId="51567D2B">
            <wp:simplePos x="0" y="0"/>
            <wp:positionH relativeFrom="margin">
              <wp:posOffset>-95250</wp:posOffset>
            </wp:positionH>
            <wp:positionV relativeFrom="margin">
              <wp:posOffset>5819775</wp:posOffset>
            </wp:positionV>
            <wp:extent cx="608965" cy="6089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trans.png"/>
                    <pic:cNvPicPr/>
                  </pic:nvPicPr>
                  <pic:blipFill>
                    <a:blip r:embed="rId6">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anchor>
        </w:drawing>
      </w:r>
      <w:r w:rsidR="003921D6">
        <w:t xml:space="preserve"> By resolution 49/214 of 23 December 1994, the United Nations General Assembly decided that the International Day of the World's Indigenous People shall be observed on 9 August every year during the International Decade of the World's Indigenous People. The date marks the day of the first meeting, in 1982, of the UN Working Group on Indigenous Populations of the Subcommission on the Promotion and Protection of Human Rights.[3] </w:t>
      </w:r>
    </w:p>
    <w:p w:rsidR="00FC5CB0" w:rsidRDefault="00D57D64">
      <w:pPr>
        <w:pStyle w:val="CK12ElementBox"/>
      </w:pPr>
      <w:r>
        <w:pict>
          <v:group id="_x0000_s1026" style="width:400pt;height:375.25pt;mso-position-horizontal-relative:char;mso-position-vertical-relative:line" coordsize="8000,7505">
            <v:shapetype id="_x0000_t202" coordsize="21600,21600" o:spt="202" path="m,l,21600r21600,l21600,xe">
              <v:stroke joinstyle="miter"/>
              <v:path gradientshapeok="t" o:connecttype="rect"/>
            </v:shapetype>
            <v:shape id="_x0000_s1028" style="position:absolute;width:8000;height:700;visibility:visible;mso-wrap-style:square" o:allowoverlap="f" fillcolor="#c2d69b" type="#_x0000_t202">
              <v:textbox id="ElementBoxHead_1" style="mso-fit-text-to-shape:t">
                <w:txbxContent>
                  <w:p w:rsidR="00FC5CB0" w:rsidRDefault="003921D6">
                    <w:pPr>
                      <w:pStyle w:val="CK12ElementBoxHeader"/>
                    </w:pPr>
                    <w:r>
                      <w:t>Header</w:t>
                    </w:r>
                  </w:p>
                </w:txbxContent>
              </v:textbox>
            </v:shape>
            <v:shape id="_x0000_s1027" style="position:absolute;top:700;width:8000;height:6805;visibility:visible;mso-wrap-style:square" o:allowoverlap="f" fillcolor="#dbe5f1" type="#_x0000_t202">
              <v:textbox id="ElementBoxBody_1" style="mso-fit-shape-to-text:t">
                <w:txbxContent>
                  <w:p w:rsidR="00FC5CB0" w:rsidRDefault="003921D6">
                    <w:pPr>
                      <w:pStyle w:val="CK12LessonBase"/>
                    </w:pPr>
                    <w:r>
                      <w:t>Body</w:t>
                    </w:r>
                  </w:p>
                  <w:p w:rsidR="00FC5CB0" w:rsidRDefault="003921D6">
                    <w:pPr>
                      <w:pStyle w:val="CK12LessonBase"/>
                    </w:pPr>
                    <w:r>
                      <w:t xml:space="preserve"> The International Day of the World's Indigenous People was first pronounced by the General Assembly of the United Nations in December 1994, to be celebrated every year during the first International Decade of the World's Indigenous People (1995 </w:t>
                    </w:r>
                    <w:r>
                      <w:t>–</w:t>
                    </w:r>
                    <w:r>
                      <w:t xml:space="preserve"> 2004). In 2004, the Assembly proclaimed a Second International Decade, from 2005 </w:t>
                    </w:r>
                    <w:r>
                      <w:t>–</w:t>
                    </w:r>
                    <w:r>
                      <w:t xml:space="preserve"> 2015, with the theme of </w:t>
                    </w:r>
                    <w:r>
                      <w:t>“</w:t>
                    </w:r>
                    <w:r>
                      <w:t>A Decade for Action and Dignity.</w:t>
                    </w:r>
                    <w:r>
                      <w:t>”</w:t>
                    </w:r>
                    <w:r>
                      <w:t>[1] People from different nations are encouraged to participate in observing the day to spread the UN</w:t>
                    </w:r>
                    <w:r>
                      <w:t>’</w:t>
                    </w:r>
                    <w:r>
                      <w:t>s message on indigenous peoples. Activities may include educational forums and classroom activities to gain an appreciation and a better understanding of indigenous peoples.[2]</w:t>
                    </w:r>
                  </w:p>
                  <w:p w:rsidR="00FC5CB0" w:rsidRDefault="003921D6">
                    <w:pPr>
                      <w:pStyle w:val="CK12LessonBase"/>
                    </w:pPr>
                    <w:r>
                      <w:t>A list and a table below:</w:t>
                    </w:r>
                  </w:p>
                  <w:p w:rsidRPr="004F430D" w:rsidR="00FC5CB0" w:rsidP="004F430D" w:rsidRDefault="003921D6">
                    <w:pPr>
                      <w:pStyle w:val="CK12NumberedList"/>
                      <w:numPr>
                        <w:ilvl w:val="0"/>
                        <w:numId w:val="6"/>
                      </w:numPr>
                    </w:pPr>
                    <w:r w:rsidRPr="004F430D">
                      <w:t>One</w:t>
                    </w:r>
                  </w:p>
                  <w:p w:rsidRPr="004F430D" w:rsidR="00FC5CB0" w:rsidP="004F430D" w:rsidRDefault="003921D6">
                    <w:pPr>
                      <w:pStyle w:val="CK12NumberedList"/>
                      <w:numPr>
                        <w:ilvl w:val="0"/>
                        <w:numId w:val="6"/>
                      </w:numPr>
                    </w:pPr>
                    <w:r w:rsidRPr="004F430D">
                      <w:t>Two</w:t>
                    </w:r>
                  </w:p>
                  <w:p w:rsidRPr="004F430D" w:rsidR="00FC5CB0" w:rsidP="004F430D" w:rsidRDefault="003921D6">
                    <w:pPr>
                      <w:pStyle w:val="CK12NumberedList"/>
                      <w:numPr>
                        <w:ilvl w:val="1"/>
                        <w:numId w:val="6"/>
                      </w:numPr>
                    </w:pPr>
                    <w:r w:rsidRPr="004F430D">
                      <w:t>Two, One</w:t>
                    </w:r>
                  </w:p>
                  <w:tbl>
                    <w:tblPr>
                      <w:tblW w:w="5000" w:type="pct"/>
                      <w:tblInd w:w="15" w:type="dxa"/>
                      <w:tblBorders>
                        <w:top w:val="single" w:color="auto" w:sz="20" w:space="0"/>
                        <w:left w:val="single" w:color="auto" w:sz="20" w:space="0"/>
                        <w:bottom w:val="single" w:color="auto" w:sz="20" w:space="0"/>
                        <w:right w:val="single" w:color="auto" w:sz="20" w:space="0"/>
                        <w:insideH w:val="single" w:color="auto" w:sz="20" w:space="0"/>
                        <w:insideV w:val="single" w:color="auto" w:sz="20" w:space="0"/>
                      </w:tblBorders>
                      <w:tblCellMar>
                        <w:left w:w="10" w:type="dxa"/>
                        <w:right w:w="10" w:type="dxa"/>
                      </w:tblCellMar>
                      <w:tblLook w:val="0000" w:firstRow="0" w:lastRow="0" w:firstColumn="0" w:lastColumn="0" w:noHBand="0" w:noVBand="0"/>
                    </w:tblPr>
                    <w:tblGrid>
                      <w:gridCol w:w="3881"/>
                      <w:gridCol w:w="3881"/>
                    </w:tblGrid>
                    <w:tr w:rsidR="00FC5CB0">
                      <w:tc>
                        <w:tcPr>
                          <w:tcW w:w="0" w:type="auto"/>
                        </w:tcPr>
                        <w:p w:rsidR="00FC5CB0" w:rsidRDefault="003921D6">
                          <w:pPr>
                            <w:pStyle w:val="CK12TableCell"/>
                            <w:jc w:val="center"/>
                          </w:pPr>
                          <w:r>
                            <w:t>r1</w:t>
                          </w:r>
                          <w:r>
                            <w:rPr>
                              <w:color w:val="FF0000"/>
                            </w:rPr>
                            <w:t>c1</w:t>
                          </w:r>
                        </w:p>
                      </w:tc>
                      <w:tc>
                        <w:tcPr>
                          <w:tcW w:w="0" w:type="auto"/>
                        </w:tcPr>
                        <w:p w:rsidR="00FC5CB0" w:rsidRDefault="003921D6">
                          <w:pPr>
                            <w:pStyle w:val="CK12TableCell"/>
                            <w:jc w:val="center"/>
                          </w:pPr>
                          <w:r>
                            <w:t>r1</w:t>
                          </w:r>
                          <w:r>
                            <w:rPr>
                              <w:shd w:val="clear" w:color="auto" w:fill="000080"/>
                            </w:rPr>
                            <w:t>c2</w:t>
                          </w:r>
                        </w:p>
                      </w:tc>
                    </w:tr>
                  </w:tbl>
                  <w:p w:rsidR="00E3439F" w:rsidP="00312F1A" w:rsidRDefault="00E3439F"/>
                </w:txbxContent>
              </v:textbox>
            </v:shape>
            <w10:wrap type="none"/>
            <w10:anchorlock/>
          </v:group>
        </w:pict>
      </w:r>
    </w:p>
    <w:p w:rsidRPr="003921D6" w:rsidR="00B36235" w:rsidP="008221D3" w:rsidRDefault="003921D6">
      <w:pPr>
        <w:pStyle w:val="CK12LessonBase"/>
      </w:pPr>
      <w:r>
        <w:t xml:space="preserve"> The International Day of the World's Indigenous People was first pronounced by the General Assembly of the United Nations in December 1994, to be celebrated every year during the first International Decade of the World's Indigenous People (1995 </w:t>
      </w:r>
      <w:r>
        <w:t>–</w:t>
      </w:r>
      <w:r>
        <w:t xml:space="preserve"> 2004). In 2004, the Assembly proclaimed a Second International Decade, from 2005 </w:t>
      </w:r>
      <w:r>
        <w:t>–</w:t>
      </w:r>
      <w:r>
        <w:t xml:space="preserve"> 2015, with the theme of </w:t>
      </w:r>
      <w:r>
        <w:t>“</w:t>
      </w:r>
      <w:r>
        <w:t>A Decade for Action and Dignity.</w:t>
      </w:r>
      <w:r>
        <w:t>”</w:t>
      </w:r>
      <w:r>
        <w:t>[1] People from different nations are encouraged to participate in observing the day to spread the UN</w:t>
      </w:r>
      <w:r>
        <w:t>’</w:t>
      </w:r>
      <w:r>
        <w:t>s message on indigenous peoples. Activities may include educational forums and classroom activities to gain an appreciation and a better understanding of indigenous peoples.[2]</w:t>
      </w:r>
    </w:p>
    <w:p w:rsidR="00FC5CB0" w:rsidRDefault="003921D6">
      <w:pPr>
        <w:pStyle w:val="CK12LessonBase"/>
      </w:pPr>
      <w:r>
        <w:t xml:space="preserve"> By resolution 49/214 of 23 December 1994, the United Nations General Assembly decided that the International Day of the World's Indigenous People shall be observed on 9 August every year during the International Decade of the World's Indigenous People. The date marks the day of the first meeting, in 1982, of the UN Working Group on Indigenous Populations of the Subcommission on the Promotion and Protection of Human Rights.[3] </w:t>
      </w:r>
    </w:p>
    <w:p w:rsidR="00FC5CB0" w:rsidRDefault="003921D6">
      <w:pPr>
        <w:pStyle w:val="CK12LessonBase"/>
      </w:pPr>
      <w:r>
        <w:t xml:space="preserve"> The International Day of the World's Indigenous People was first pronounced by the General Assembly of the United Nations in December 1994, to be celebrated every year during the first </w:t>
      </w:r>
      <w:r>
        <w:lastRenderedPageBreak/>
        <w:t xml:space="preserve">International Decade of the World's Indigenous People (1995 </w:t>
      </w:r>
      <w:r>
        <w:t>–</w:t>
      </w:r>
      <w:r>
        <w:t xml:space="preserve"> 2004). In 2004, the Assembly proclaimed a Second International Decade, from 2005 </w:t>
      </w:r>
      <w:r>
        <w:t>–</w:t>
      </w:r>
      <w:r>
        <w:t xml:space="preserve"> 2015, with the theme of </w:t>
      </w:r>
      <w:r>
        <w:t>“</w:t>
      </w:r>
      <w:r>
        <w:t>A Decade for Action and Dignity.</w:t>
      </w:r>
      <w:r>
        <w:t>”</w:t>
      </w:r>
      <w:r>
        <w:t>[1] People from different nations are encouraged to participate in observing the day to spread the UN</w:t>
      </w:r>
      <w:r>
        <w:t>’</w:t>
      </w:r>
      <w:r>
        <w:t>s message on indigenous peoples. Activities may include educational forums and classroom activities to gain an appreciation and a better understanding of indigenous peoples.[2]</w:t>
      </w:r>
    </w:p>
    <w:p w:rsidR="0035127B" w:rsidRDefault="00D57D64">
      <w:pPr>
        <w:pStyle w:val="CK12LessonBase"/>
      </w:pPr>
      <w:r>
        <w:pict>
          <v:group id="_x0000_s1030" style="width:400pt;height:179.4pt;mso-position-horizontal-relative:char;mso-position-vertical-relative:line" coordsize="8000,3995">
            <v:shape id="_x0000_s1031" style="position:absolute;width:8000;height:700;visibility:visible;mso-wrap-style:square" o:allowoverlap="f" fillcolor="#c2d69b" type="#_x0000_t202">
              <v:textbox id="ElementBoxHead_1" style="mso-fit-text-to-shape:t">
                <w:txbxContent>
                  <w:p w:rsidR="0035127B" w:rsidP="0035127B" w:rsidRDefault="0035127B">
                    <w:pPr>
                      <w:pStyle w:val="CK12ElementBoxHeader"/>
                    </w:pPr>
                    <w:r>
                      <w:t>Header (</w:t>
                    </w:r>
                    <w:r w:rsidRPr="0035127B">
                      <w:rPr>
                        <w:i/>
                        <w:u w:val="single"/>
                      </w:rPr>
                      <w:t>link</w:t>
                    </w:r>
                    <w:r w:rsidRPr="0035127B">
                      <w:rPr>
                        <w:i/>
                      </w:rPr>
                      <w:t xml:space="preserve"> 2</w:t>
                    </w:r>
                    <w:r>
                      <w:t>)</w:t>
                    </w:r>
                  </w:p>
                </w:txbxContent>
              </v:textbox>
            </v:shape>
            <v:shape id="_x0000_s1032" style="position:absolute;top:700;width:8000;height:3295;visibility:visible;mso-wrap-style:square" o:allowoverlap="f" fillcolor="#dbe5f1" type="#_x0000_t202">
              <v:textbox id="ElementBoxBody_1">
                <w:txbxContent>
                  <w:p w:rsidR="0035127B" w:rsidP="0035127B" w:rsidRDefault="0035127B">
                    <w:pPr>
                      <w:pStyle w:val="CK12LessonBase"/>
                    </w:pPr>
                    <w:r>
                      <w:t>Body</w:t>
                    </w:r>
                  </w:p>
                  <w:p w:rsidR="0035127B" w:rsidP="0035127B" w:rsidRDefault="0035127B">
                    <w:pPr>
                      <w:pStyle w:val="CK12LessonBase"/>
                    </w:pPr>
                    <w:r>
                      <w:t xml:space="preserve"> A list and a table below:</w:t>
                    </w:r>
                  </w:p>
                  <w:p w:rsidRPr="004F430D" w:rsidR="0035127B" w:rsidP="0035127B" w:rsidRDefault="0035127B">
                    <w:pPr>
                      <w:pStyle w:val="CK12BulletedList"/>
                      <w:numPr>
                        <w:ilvl w:val="0"/>
                        <w:numId w:val="7"/>
                      </w:numPr>
                    </w:pPr>
                    <w:r w:rsidRPr="004F430D">
                      <w:t>One</w:t>
                    </w:r>
                  </w:p>
                  <w:p w:rsidRPr="004F430D" w:rsidR="0035127B" w:rsidP="0035127B" w:rsidRDefault="0035127B">
                    <w:pPr>
                      <w:pStyle w:val="CK12BulletedList"/>
                      <w:numPr>
                        <w:ilvl w:val="0"/>
                        <w:numId w:val="7"/>
                      </w:numPr>
                    </w:pPr>
                    <w:r w:rsidRPr="004F430D">
                      <w:t>Two</w:t>
                    </w:r>
                  </w:p>
                  <w:tbl>
                    <w:tblPr>
                      <w:tblW w:w="5000" w:type="pct"/>
                      <w:tblInd w:w="15" w:type="dxa"/>
                      <w:tblBorders>
                        <w:top w:val="single" w:color="auto" w:sz="20" w:space="0"/>
                        <w:left w:val="single" w:color="auto" w:sz="20" w:space="0"/>
                        <w:bottom w:val="single" w:color="auto" w:sz="20" w:space="0"/>
                        <w:right w:val="single" w:color="auto" w:sz="20" w:space="0"/>
                        <w:insideH w:val="single" w:color="auto" w:sz="20" w:space="0"/>
                        <w:insideV w:val="single" w:color="auto" w:sz="20" w:space="0"/>
                      </w:tblBorders>
                      <w:tblCellMar>
                        <w:left w:w="10" w:type="dxa"/>
                        <w:right w:w="10" w:type="dxa"/>
                      </w:tblCellMar>
                      <w:tblLook w:val="0000" w:firstRow="0" w:lastRow="0" w:firstColumn="0" w:lastColumn="0" w:noHBand="0" w:noVBand="0"/>
                    </w:tblPr>
                    <w:tblGrid>
                      <w:gridCol w:w="3881"/>
                      <w:gridCol w:w="3881"/>
                    </w:tblGrid>
                    <w:tr w:rsidR="0035127B">
                      <w:tc>
                        <w:tcPr>
                          <w:tcW w:w="0" w:type="auto"/>
                        </w:tcPr>
                        <w:p w:rsidR="0035127B" w:rsidRDefault="0035127B">
                          <w:pPr>
                            <w:pStyle w:val="CK12TableCell"/>
                            <w:jc w:val="center"/>
                          </w:pPr>
                          <w:r>
                            <w:t>r1</w:t>
                          </w:r>
                          <w:r>
                            <w:rPr>
                              <w:color w:val="FF0000"/>
                            </w:rPr>
                            <w:t>c1</w:t>
                          </w:r>
                        </w:p>
                      </w:tc>
                      <w:tc>
                        <w:tcPr>
                          <w:tcW w:w="0" w:type="auto"/>
                        </w:tcPr>
                        <w:p w:rsidR="0035127B" w:rsidRDefault="0035127B">
                          <w:pPr>
                            <w:pStyle w:val="CK12TableCell"/>
                            <w:jc w:val="center"/>
                          </w:pPr>
                          <w:r>
                            <w:t>r1</w:t>
                          </w:r>
                          <w:r>
                            <w:rPr>
                              <w:shd w:val="clear" w:color="auto" w:fill="000080"/>
                            </w:rPr>
                            <w:t>c2</w:t>
                          </w:r>
                        </w:p>
                      </w:tc>
                    </w:tr>
                  </w:tbl>
                  <w:p w:rsidR="0035127B" w:rsidP="0035127B" w:rsidRDefault="0035127B"/>
                </w:txbxContent>
              </v:textbox>
            </v:shape>
            <w10:wrap type="none"/>
            <w10:anchorlock/>
          </v:group>
        </w:pict>
      </w:r>
    </w:p>
    <w:p w:rsidR="00FC5CB0" w:rsidRDefault="003921D6">
      <w:pPr>
        <w:pStyle w:val="CK12LessonBase"/>
      </w:pPr>
      <w:r>
        <w:t xml:space="preserve"> By resolution 49/214 of 23 December 1994, the United Nations General Assembly decided that the International Day of the World's Indigenous People shall be observed on 9 August every year during the International Decade of the World's Indigenous People. The date marks the day of the first meeting, in 1982, of the UN Working Group on Indigenous Populations of the Subcommission on the Promotion and Protection of Human Rights.[3] </w:t>
      </w:r>
    </w:p>
    <w:sectPr w:rsidR="00FC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B2A9D"/>
    <w:multiLevelType w:val="hybridMultilevel"/>
    <w:tmpl w:val="24540E0A"/>
    <w:lvl w:ilvl="0" w:tplc="187828FA">
      <w:start w:val="1"/>
      <w:numFmt w:val="decimal"/>
      <w:lvlText w:val="%1."/>
      <w:lvlJc w:val="left"/>
      <w:pPr>
        <w:ind w:left="720" w:hanging="360"/>
      </w:pPr>
    </w:lvl>
    <w:lvl w:ilvl="1" w:tplc="58762032">
      <w:start w:val="1"/>
      <w:numFmt w:val="decimal"/>
      <w:lvlText w:val="%2."/>
      <w:lvlJc w:val="left"/>
      <w:pPr>
        <w:ind w:left="1440" w:hanging="360"/>
      </w:pPr>
    </w:lvl>
    <w:lvl w:ilvl="2" w:tplc="6B1CA9CA">
      <w:start w:val="1"/>
      <w:numFmt w:val="decimal"/>
      <w:lvlText w:val="%3."/>
      <w:lvlJc w:val="left"/>
      <w:pPr>
        <w:ind w:left="2160" w:hanging="360"/>
      </w:pPr>
    </w:lvl>
    <w:lvl w:ilvl="3" w:tplc="33D286E0">
      <w:start w:val="1"/>
      <w:numFmt w:val="decimal"/>
      <w:lvlText w:val="%4."/>
      <w:lvlJc w:val="left"/>
      <w:pPr>
        <w:ind w:left="2880" w:hanging="360"/>
      </w:pPr>
    </w:lvl>
    <w:lvl w:ilvl="4" w:tplc="B5BEB602">
      <w:start w:val="1"/>
      <w:numFmt w:val="decimal"/>
      <w:lvlText w:val="%5."/>
      <w:lvlJc w:val="left"/>
      <w:pPr>
        <w:ind w:left="3600" w:hanging="360"/>
      </w:pPr>
    </w:lvl>
    <w:lvl w:ilvl="5" w:tplc="EDCA05E8">
      <w:start w:val="1"/>
      <w:numFmt w:val="decimal"/>
      <w:lvlText w:val="%6."/>
      <w:lvlJc w:val="left"/>
      <w:pPr>
        <w:ind w:left="4320" w:hanging="360"/>
      </w:pPr>
    </w:lvl>
    <w:lvl w:ilvl="6" w:tplc="CDCC88D2">
      <w:start w:val="1"/>
      <w:numFmt w:val="decimal"/>
      <w:lvlText w:val="%7."/>
      <w:lvlJc w:val="left"/>
      <w:pPr>
        <w:ind w:left="5040" w:hanging="360"/>
      </w:pPr>
    </w:lvl>
    <w:lvl w:ilvl="7" w:tplc="7018E55C">
      <w:start w:val="1"/>
      <w:numFmt w:val="decimal"/>
      <w:lvlText w:val="%8."/>
      <w:lvlJc w:val="left"/>
      <w:pPr>
        <w:ind w:left="5760" w:hanging="360"/>
      </w:pPr>
    </w:lvl>
    <w:lvl w:ilvl="8" w:tplc="947A7644">
      <w:start w:val="1"/>
      <w:numFmt w:val="decimal"/>
      <w:lvlText w:val="%9."/>
      <w:lvlJc w:val="left"/>
      <w:pPr>
        <w:ind w:left="6480" w:hanging="360"/>
      </w:pPr>
    </w:lvl>
  </w:abstractNum>
  <w:abstractNum w:abstractNumId="1">
    <w:nsid w:val="174562CF"/>
    <w:multiLevelType w:val="hybridMultilevel"/>
    <w:tmpl w:val="CBEA61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1503C16"/>
    <w:multiLevelType w:val="hybridMultilevel"/>
    <w:tmpl w:val="BF64D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13915"/>
    <w:multiLevelType w:val="hybridMultilevel"/>
    <w:tmpl w:val="4D4E1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D624C"/>
    <w:multiLevelType w:val="hybridMultilevel"/>
    <w:tmpl w:val="B122E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CB019D"/>
    <w:multiLevelType w:val="hybridMultilevel"/>
    <w:tmpl w:val="3C18BABA"/>
    <w:lvl w:ilvl="0" w:tplc="1D22280C">
      <w:start w:val="1"/>
      <w:numFmt w:val="bullet"/>
      <w:lvlText w:val="•"/>
      <w:lvlJc w:val="left"/>
      <w:pPr>
        <w:ind w:left="720" w:hanging="360"/>
      </w:pPr>
    </w:lvl>
    <w:lvl w:ilvl="1" w:tplc="A8F6631E">
      <w:numFmt w:val="decimal"/>
      <w:lvlText w:val=""/>
      <w:lvlJc w:val="left"/>
    </w:lvl>
    <w:lvl w:ilvl="2" w:tplc="093CA220">
      <w:numFmt w:val="decimal"/>
      <w:lvlText w:val=""/>
      <w:lvlJc w:val="left"/>
    </w:lvl>
    <w:lvl w:ilvl="3" w:tplc="21540A6E">
      <w:numFmt w:val="decimal"/>
      <w:lvlText w:val=""/>
      <w:lvlJc w:val="left"/>
    </w:lvl>
    <w:lvl w:ilvl="4" w:tplc="68341028">
      <w:numFmt w:val="decimal"/>
      <w:lvlText w:val=""/>
      <w:lvlJc w:val="left"/>
    </w:lvl>
    <w:lvl w:ilvl="5" w:tplc="0FD6EC48">
      <w:numFmt w:val="decimal"/>
      <w:lvlText w:val=""/>
      <w:lvlJc w:val="left"/>
    </w:lvl>
    <w:lvl w:ilvl="6" w:tplc="031A3610">
      <w:numFmt w:val="decimal"/>
      <w:lvlText w:val=""/>
      <w:lvlJc w:val="left"/>
    </w:lvl>
    <w:lvl w:ilvl="7" w:tplc="5D168E1E">
      <w:numFmt w:val="decimal"/>
      <w:lvlText w:val=""/>
      <w:lvlJc w:val="left"/>
    </w:lvl>
    <w:lvl w:ilvl="8" w:tplc="9EEEA46A">
      <w:numFmt w:val="decimal"/>
      <w:lvlText w:val=""/>
      <w:lvlJc w:val="left"/>
    </w:lvl>
  </w:abstractNum>
  <w:abstractNum w:abstractNumId="6">
    <w:nsid w:val="5BF46FD0"/>
    <w:multiLevelType w:val="hybridMultilevel"/>
    <w:tmpl w:val="BDF287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FC5CB0"/>
    <w:rsid w:val="00312F1A"/>
    <w:rsid w:val="0035127B"/>
    <w:rsid w:val="003921D6"/>
    <w:rsid w:val="004F430D"/>
    <w:rsid w:val="005014FC"/>
    <w:rsid w:val="00610CDF"/>
    <w:rsid w:val="006F0659"/>
    <w:rsid w:val="008221D3"/>
    <w:rsid w:val="00962734"/>
    <w:rsid w:val="00B36235"/>
    <w:rsid w:val="00D57D64"/>
    <w:rsid w:val="00D67EB2"/>
    <w:rsid w:val="00E3439F"/>
    <w:rsid w:val="00FA3B1A"/>
    <w:rsid w:val="00FC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K12Emphasis">
    <w:name w:val="CK12Emphasis"/>
    <w:basedOn w:val="CK12Base"/>
    <w:next w:val="CK12LessonBase"/>
  </w:style>
  <w:style w:type="paragraph" w:customStyle="1" w:styleId="CK12InlineImage">
    <w:name w:val="CK12InlineImage"/>
    <w:basedOn w:val="CK12Base"/>
    <w:next w:val="CK12LessonBase"/>
    <w:qFormat/>
  </w:style>
  <w:style w:type="paragraph" w:customStyle="1" w:styleId="CK12SubsectionTitle">
    <w:name w:val="CK12SubsectionTitle"/>
    <w:basedOn w:val="CK12Base"/>
    <w:next w:val="CK12LessonBase"/>
    <w:qFormat/>
    <w:pPr>
      <w:keepNext/>
    </w:pPr>
    <w:rPr>
      <w:b/>
      <w:color w:val="4F81BD"/>
      <w:sz w:val="24"/>
    </w:rPr>
  </w:style>
  <w:style w:type="paragraph" w:customStyle="1" w:styleId="CK12LessonBase">
    <w:name w:val="CK12LessonBase"/>
    <w:basedOn w:val="CK12Base"/>
    <w:qFormat/>
    <w:rPr>
      <w:color w:val="000000"/>
    </w:rPr>
  </w:style>
  <w:style w:type="paragraph" w:customStyle="1" w:styleId="CK12BlockEquation">
    <w:name w:val="CK12BlockEquation"/>
    <w:basedOn w:val="CK12Base"/>
    <w:next w:val="CK12LessonBase"/>
    <w:qFormat/>
    <w:pPr>
      <w:keepLines/>
      <w:ind w:left="720"/>
    </w:pPr>
    <w:rPr>
      <w:rFonts w:ascii="Courier"/>
      <w:noProof/>
    </w:rPr>
  </w:style>
  <w:style w:type="paragraph" w:customStyle="1" w:styleId="CK12InlineEquation">
    <w:name w:val="CK12InlineEquation"/>
    <w:basedOn w:val="CK12Base"/>
    <w:next w:val="CK12LessonBase"/>
    <w:qFormat/>
    <w:rPr>
      <w:rFonts w:ascii="Courier"/>
      <w:noProof/>
    </w:rPr>
  </w:style>
  <w:style w:type="paragraph" w:customStyle="1" w:styleId="CK12TableHeaderCell">
    <w:name w:val="CK12TableHeaderCell"/>
    <w:basedOn w:val="CK12Base"/>
    <w:next w:val="CK12LessonBase"/>
    <w:qFormat/>
    <w:rPr>
      <w:b/>
    </w:rPr>
  </w:style>
  <w:style w:type="paragraph" w:customStyle="1" w:styleId="CK12LiteralLayout">
    <w:name w:val="CK12LiteralLayout"/>
    <w:basedOn w:val="CK12Base"/>
    <w:next w:val="CK12LessonBase"/>
    <w:qFormat/>
    <w:pPr>
      <w:keepLines/>
      <w:shd w:val="clear" w:color="auto" w:fill="EFEFEF"/>
      <w:wordWrap w:val="0"/>
      <w:ind w:left="720"/>
    </w:pPr>
    <w:rPr>
      <w:rFonts w:ascii="Courier"/>
    </w:rPr>
  </w:style>
  <w:style w:type="paragraph" w:customStyle="1" w:styleId="CK12BlockQuote">
    <w:name w:val="CK12BlockQuote"/>
    <w:basedOn w:val="CK12Base"/>
    <w:next w:val="CK12LessonBase"/>
    <w:qFormat/>
    <w:pPr>
      <w:keepLines/>
      <w:ind w:left="720"/>
    </w:pPr>
  </w:style>
  <w:style w:type="paragraph" w:customStyle="1" w:styleId="CK12NumberedList">
    <w:name w:val="CK12NumberedList"/>
    <w:basedOn w:val="CK12Base"/>
    <w:next w:val="CK12LessonBase"/>
    <w:qFormat/>
  </w:style>
  <w:style w:type="paragraph" w:customStyle="1" w:styleId="CK12DefinitionDesc">
    <w:name w:val="CK12DefinitionDesc"/>
    <w:basedOn w:val="CK12Base"/>
    <w:next w:val="CK12LessonBase"/>
    <w:qFormat/>
    <w:pPr>
      <w:keepLines/>
      <w:ind w:left="720"/>
    </w:pPr>
  </w:style>
  <w:style w:type="paragraph" w:customStyle="1" w:styleId="CK12TableCell">
    <w:name w:val="CK12TableCell"/>
    <w:basedOn w:val="CK12Base"/>
    <w:next w:val="CK12LessonBase"/>
    <w:qFormat/>
  </w:style>
  <w:style w:type="paragraph" w:customStyle="1" w:styleId="CK12Base">
    <w:name w:val="CK12Base"/>
    <w:rPr>
      <w:rFonts w:ascii="Tahoma"/>
    </w:rPr>
  </w:style>
  <w:style w:type="paragraph" w:customStyle="1" w:styleId="CK12SectionTitle">
    <w:name w:val="CK12SectionTitle"/>
    <w:basedOn w:val="CK12Base"/>
    <w:next w:val="CK12LessonBase"/>
    <w:qFormat/>
    <w:pPr>
      <w:keepNext/>
    </w:pPr>
    <w:rPr>
      <w:b/>
      <w:color w:val="365F91"/>
      <w:sz w:val="28"/>
    </w:rPr>
  </w:style>
  <w:style w:type="paragraph" w:customStyle="1" w:styleId="CK12BulletedList">
    <w:name w:val="CK12BulletedList"/>
    <w:basedOn w:val="CK12Base"/>
    <w:next w:val="CK12LessonBase"/>
    <w:qFormat/>
  </w:style>
  <w:style w:type="character" w:customStyle="1" w:styleId="CK12Hyperlink">
    <w:name w:val="CK12Hyperlink"/>
    <w:rPr>
      <w:color w:val="0000FF"/>
      <w:u w:val="single"/>
    </w:rPr>
  </w:style>
  <w:style w:type="paragraph" w:customStyle="1" w:styleId="CK12ChapterTitle">
    <w:name w:val="CK12ChapterTitle"/>
    <w:basedOn w:val="CK12Base"/>
    <w:next w:val="CK12LessonBase"/>
    <w:qFormat/>
    <w:pPr>
      <w:keepNext/>
      <w:pBdr>
        <w:bottom w:val="single" w:sz="8" w:space="4" w:color="4F81BD"/>
      </w:pBdr>
      <w:spacing w:after="300" w:line="240" w:lineRule="auto"/>
      <w:contextualSpacing/>
    </w:pPr>
    <w:rPr>
      <w:b/>
      <w:color w:val="17365D"/>
      <w:sz w:val="32"/>
    </w:rPr>
  </w:style>
  <w:style w:type="paragraph" w:customStyle="1" w:styleId="CK12ElementBox">
    <w:name w:val="CK12ElementBox"/>
    <w:basedOn w:val="CK12Base"/>
    <w:next w:val="CK12LessonBase"/>
    <w:qFormat/>
  </w:style>
  <w:style w:type="paragraph" w:customStyle="1" w:styleId="MTDisplayEquation">
    <w:name w:val="MTDisplayEquation"/>
    <w:basedOn w:val="CK12Base"/>
    <w:next w:val="CK12LessonBase"/>
    <w:pPr>
      <w:tabs>
        <w:tab w:val="center" w:pos="4680"/>
        <w:tab w:val="right" w:pos="9360"/>
      </w:tabs>
    </w:pPr>
  </w:style>
  <w:style w:type="paragraph" w:customStyle="1" w:styleId="CK12BlockImage">
    <w:name w:val="CK12BlockImage"/>
    <w:basedOn w:val="CK12Base"/>
    <w:next w:val="CK12LessonBase"/>
    <w:qFormat/>
    <w:pPr>
      <w:keepNext/>
    </w:pPr>
  </w:style>
  <w:style w:type="paragraph" w:customStyle="1" w:styleId="CK12ElementBoxHeader">
    <w:name w:val="CK12ElementBoxHeader"/>
    <w:basedOn w:val="CK12Base"/>
    <w:next w:val="CK12LessonBase"/>
    <w:qFormat/>
    <w:pPr>
      <w:keepNext/>
    </w:pPr>
    <w:rPr>
      <w:b/>
      <w:color w:val="632423"/>
      <w:sz w:val="24"/>
    </w:rPr>
  </w:style>
  <w:style w:type="paragraph" w:customStyle="1" w:styleId="CK12DefinitionTerm">
    <w:name w:val="CK12DefinitionTerm"/>
    <w:basedOn w:val="CK12Base"/>
    <w:next w:val="CK12LessonBase"/>
    <w:qFormat/>
    <w:pPr>
      <w:keepNext/>
      <w:ind w:left="360"/>
    </w:pPr>
    <w:rPr>
      <w:b/>
    </w:rPr>
  </w:style>
  <w:style w:type="paragraph" w:customStyle="1" w:styleId="CK12ImageCaption">
    <w:name w:val="CK12ImageCaption"/>
    <w:basedOn w:val="CK12Base"/>
    <w:next w:val="CK12LessonBase"/>
    <w:qFormat/>
    <w:pPr>
      <w:keepLines/>
    </w:pPr>
    <w:rPr>
      <w:b/>
      <w:color w:val="4F81BD"/>
    </w:rPr>
  </w:style>
  <w:style w:type="paragraph" w:customStyle="1" w:styleId="CK12SubsubsectionTitle">
    <w:name w:val="CK12SubsubsectionTitle"/>
    <w:basedOn w:val="CK12Base"/>
    <w:next w:val="CK12LessonBase"/>
    <w:qFormat/>
    <w:pPr>
      <w:keepNext/>
    </w:pPr>
    <w:rPr>
      <w:b/>
    </w:rPr>
  </w:style>
  <w:style w:type="paragraph" w:customStyle="1" w:styleId="CK12RawData">
    <w:name w:val="CK12RawData"/>
    <w:basedOn w:val="CK12Base"/>
    <w:next w:val="CK12LessonBase"/>
    <w:qFormat/>
    <w:pPr>
      <w:keepNext/>
      <w:keepLines/>
    </w:pPr>
    <w:rPr>
      <w:rFonts w:ascii="Courier"/>
      <w:noProof/>
    </w:rPr>
  </w:style>
  <w:style w:type="paragraph" w:styleId="BalloonText">
    <w:name w:val="Balloon Text"/>
    <w:basedOn w:val="Normal"/>
    <w:link w:val="BalloonTextChar"/>
    <w:uiPriority w:val="99"/>
    <w:semiHidden/>
    <w:unhideWhenUsed/>
    <w:rsid w:val="00B36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2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Nimish</cp:lastModifiedBy>
  <cp:revision>16</cp:revision>
  <dcterms:created xsi:type="dcterms:W3CDTF">2011-08-09T23:59:00Z</dcterms:created>
  <dcterms:modified xsi:type="dcterms:W3CDTF">2011-08-10T23:20:00Z</dcterms:modified>
</cp:coreProperties>
</file>