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7B2D8B"/>
          <w:sz w:val="64"/>
          <w:szCs w:val="64"/>
        </w:rPr>
        <w:t xml:space="preserve">NEXACORP INC.</w:t>
      </w:r>
    </w:p>
    <w:p>
      <w:pPr>
        <w:spacing w:after="240" w:before="0"/>
        <w:jc w:val="center"/>
      </w:pPr>
      <w:r>
        <w:rPr>
          <w:rFonts w:ascii="Arial" w:cs="Arial" w:eastAsia="Arial" w:hAnsi="Arial"/>
          <w:b/>
          <w:bCs/>
          <w:color w:val="1F1F1F"/>
          <w:sz w:val="44"/>
          <w:szCs w:val="44"/>
        </w:rPr>
        <w:t xml:space="preserve">Human Resources Policy Manual</w:t>
      </w:r>
    </w:p>
    <w:p>
      <w:pPr>
        <w:spacing w:after="120" w:before="0"/>
        <w:jc w:val="center"/>
      </w:pPr>
      <w:r>
        <w:rPr>
          <w:rFonts w:ascii="Arial" w:cs="Arial" w:eastAsia="Arial" w:hAnsi="Arial"/>
          <w:color w:val="666666"/>
          <w:sz w:val="24"/>
          <w:szCs w:val="24"/>
        </w:rPr>
        <w:t xml:space="preserve">Version 4.2 | Effective Date: January 1, 2024</w:t>
      </w:r>
    </w:p>
    <w:p>
      <w:pPr>
        <w:spacing w:after="120" w:before="0"/>
        <w:jc w:val="center"/>
      </w:pPr>
      <w:r>
        <w:rPr>
          <w:rFonts w:ascii="Arial" w:cs="Arial" w:eastAsia="Arial" w:hAnsi="Arial"/>
          <w:i/>
          <w:iCs/>
          <w:color w:val="888888"/>
          <w:sz w:val="22"/>
          <w:szCs w:val="22"/>
        </w:rPr>
        <w:t xml:space="preserve">Last Revised: November 15, 2023 | Next Review: December 31, 2024</w:t>
      </w:r>
    </w:p>
    <w:p>
      <w:pPr>
        <w:spacing w:after="0" w:before="720"/>
        <w:jc w:val="center"/>
      </w:pPr>
      <w:r>
        <w:rPr>
          <w:rFonts w:ascii="Arial" w:cs="Arial" w:eastAsia="Arial" w:hAnsi="Arial"/>
          <w:b/>
          <w:bCs/>
          <w:color w:val="444444"/>
          <w:sz w:val="22"/>
          <w:szCs w:val="22"/>
        </w:rPr>
        <w:t xml:space="preserve">Approved by: Layla Hassan, VP Human Resources</w:t>
      </w:r>
    </w:p>
    <w:p>
      <w:pPr>
        <w:spacing w:after="2880" w:before="80"/>
        <w:jc w:val="center"/>
      </w:pPr>
      <w:r>
        <w:rPr>
          <w:rFonts w:ascii="Arial" w:cs="Arial" w:eastAsia="Arial" w:hAnsi="Arial"/>
          <w:color w:val="444444"/>
          <w:sz w:val="22"/>
          <w:szCs w:val="22"/>
        </w:rPr>
        <w:t xml:space="preserve">Countersigned by: Thomas Reeves, VP Legal &amp; Compliance</w:t>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Document Control &amp; Revision History</w:t>
      </w:r>
    </w:p>
    <w:p>
      <w:pPr>
        <w:spacing w:after="60" w:before="120"/>
      </w:pPr>
      <w:r>
        <w:rPr>
          <w:rFonts w:ascii="Arial" w:cs="Arial" w:eastAsia="Arial" w:hAnsi="Arial"/>
          <w:i/>
          <w:iCs/>
          <w:color w:val="666666"/>
          <w:sz w:val="18"/>
          <w:szCs w:val="18"/>
        </w:rPr>
        <w:t xml:space="preserve">Table 0.1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440"/>
        <w:gridCol w:w="576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Changes</w:t>
            </w:r>
          </w:p>
        </w:tc>
      </w:tr>
      <w:tr>
        <w:tc>
          <w:tcPr>
            <w:tcW w:type="dxa" w:w="72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4.2</w:t>
            </w:r>
          </w:p>
        </w:tc>
        <w:tc>
          <w:tcPr>
            <w:tcW w:type="dxa" w:w="144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Nov 15, 2023</w:t>
            </w:r>
          </w:p>
        </w:tc>
        <w:tc>
          <w:tcPr>
            <w:tcW w:type="dxa" w:w="144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 Hassan</w:t>
            </w:r>
          </w:p>
        </w:tc>
        <w:tc>
          <w:tcPr>
            <w:tcW w:type="dxa" w:w="5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Added AI-assisted hiring guidelines (§6.4); Updated parental leave to 20 weeks (§8.3); Revised equity refresh policy (§9.2)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 1, 2023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 Hassan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Added NexaEdge field employee provisions; Updated remote work policy post-COVID</w:t>
            </w:r>
          </w:p>
        </w:tc>
      </w:tr>
      <w:tr>
        <w:tc>
          <w:tcPr>
            <w:tcW w:type="dxa" w:w="72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4.0</w:t>
            </w:r>
          </w:p>
        </w:tc>
        <w:tc>
          <w:tcPr>
            <w:tcW w:type="dxa" w:w="144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1, 2022</w:t>
            </w:r>
          </w:p>
        </w:tc>
        <w:tc>
          <w:tcPr>
            <w:tcW w:type="dxa" w:w="144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 Hassan</w:t>
            </w:r>
          </w:p>
        </w:tc>
        <w:tc>
          <w:tcPr>
            <w:tcW w:type="dxa" w:w="5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Major revision: Introduced hybrid work policy; Expanded DEI commitments; Added mental health benefits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Jun 1, 2021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Ramos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Pandemic-era remote work provisions; Updated travel policy</w:t>
            </w:r>
          </w:p>
        </w:tc>
      </w:tr>
      <w:tr>
        <w:tc>
          <w:tcPr>
            <w:tcW w:type="dxa" w:w="72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144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1, 2020</w:t>
            </w:r>
          </w:p>
        </w:tc>
        <w:tc>
          <w:tcPr>
            <w:tcW w:type="dxa" w:w="144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Ramos</w:t>
            </w:r>
          </w:p>
        </w:tc>
        <w:tc>
          <w:tcPr>
            <w:tcW w:type="dxa" w:w="5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Complete rewrite aligning with post-IPO compliance requirements</w:t>
            </w:r>
          </w:p>
        </w:tc>
      </w:tr>
    </w:tbl>
    <w:p>
      <w:pPr>
        <w:spacing w:after="120" w:before="120"/>
      </w:pPr>
      <w:r>
        <w:t xml:space="preserve"/>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1. Employment Policies</w:t>
      </w:r>
    </w:p>
    <w:p>
      <w:pPr>
        <w:pStyle w:val="Heading2"/>
        <w:spacing w:after="120" w:before="240"/>
      </w:pPr>
      <w:r>
        <w:rPr>
          <w:rFonts w:ascii="Arial" w:cs="Arial" w:eastAsia="Arial" w:hAnsi="Arial"/>
          <w:b/>
          <w:bCs/>
          <w:color w:val="9B59B6"/>
          <w:sz w:val="26"/>
          <w:szCs w:val="26"/>
        </w:rPr>
        <w:t xml:space="preserve">1.1 Equal Employment Opportunity</w:t>
      </w:r>
    </w:p>
    <w:p>
      <w:pPr>
        <w:spacing w:after="80" w:before="80"/>
      </w:pPr>
      <w:r>
        <w:rPr>
          <w:rFonts w:ascii="Arial" w:cs="Arial" w:eastAsia="Arial" w:hAnsi="Arial"/>
          <w:sz w:val="22"/>
          <w:szCs w:val="22"/>
        </w:rPr>
        <w:t xml:space="preserve">NexaCorp is an equal opportunity employer. All employment decisions are made without regard to race, color, religion, sex, sexual orientation, gender identity or expression, national origin, age, disability, veteran status, marital status, or any other protected characteristic under applicable federal, state, and local law.</w:t>
      </w:r>
    </w:p>
    <w:p>
      <w:pPr>
        <w:spacing w:after="120" w:before="120"/>
      </w:pPr>
      <w:r>
        <w:t xml:space="preserve"/>
      </w:r>
    </w:p>
    <w:p>
      <w:pPr>
        <w:pStyle w:val="Heading2"/>
        <w:spacing w:after="120" w:before="240"/>
      </w:pPr>
      <w:r>
        <w:rPr>
          <w:rFonts w:ascii="Arial" w:cs="Arial" w:eastAsia="Arial" w:hAnsi="Arial"/>
          <w:b/>
          <w:bCs/>
          <w:color w:val="9B59B6"/>
          <w:sz w:val="26"/>
          <w:szCs w:val="26"/>
        </w:rPr>
        <w:t xml:space="preserve">1.2 Employment Classification</w:t>
      </w:r>
    </w:p>
    <w:p>
      <w:pPr>
        <w:spacing w:after="80" w:before="80"/>
      </w:pPr>
      <w:r>
        <w:rPr>
          <w:rFonts w:ascii="Arial" w:cs="Arial" w:eastAsia="Arial" w:hAnsi="Arial"/>
          <w:sz w:val="22"/>
          <w:szCs w:val="22"/>
        </w:rPr>
        <w:t xml:space="preserve">All NexaCorp employees are classified according to the following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Classification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Benefits Status</w:t>
            </w:r>
          </w:p>
        </w:tc>
      </w:tr>
      <w:tr>
        <w:tc>
          <w:tcPr>
            <w:tcW w:type="dxa" w:w="2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Full-Time Regular</w:t>
            </w:r>
          </w:p>
        </w:tc>
        <w:tc>
          <w:tcPr>
            <w:tcW w:type="dxa" w:w="43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Works ≥ 40 hours/week on an ongoing basis</w:t>
            </w:r>
          </w:p>
        </w:tc>
        <w:tc>
          <w:tcPr>
            <w:tcW w:type="dxa" w:w="2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benefits eligible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Part-Time Regular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Works &lt; 40 hours/week on an ongoing basis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Pro-rated benefits</w:t>
            </w:r>
          </w:p>
        </w:tc>
      </w:tr>
      <w:tr>
        <w:tc>
          <w:tcPr>
            <w:tcW w:type="dxa" w:w="2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Full-Time Contractor</w:t>
            </w:r>
          </w:p>
        </w:tc>
        <w:tc>
          <w:tcPr>
            <w:tcW w:type="dxa" w:w="43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40 hrs/week via Statement of Work</w:t>
            </w:r>
          </w:p>
        </w:tc>
        <w:tc>
          <w:tcPr>
            <w:tcW w:type="dxa" w:w="2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 benefits eligible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 / Co-op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Fixed-term, typically 12–16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Health insurance only</w:t>
            </w:r>
          </w:p>
        </w:tc>
      </w:tr>
      <w:tr>
        <w:tc>
          <w:tcPr>
            <w:tcW w:type="dxa" w:w="2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Temporary / Seasonal</w:t>
            </w:r>
          </w:p>
        </w:tc>
        <w:tc>
          <w:tcPr>
            <w:tcW w:type="dxa" w:w="43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Hired for specific project or season</w:t>
            </w:r>
          </w:p>
        </w:tc>
        <w:tc>
          <w:tcPr>
            <w:tcW w:type="dxa" w:w="2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 benefits eligible</w:t>
            </w:r>
          </w:p>
        </w:tc>
      </w:tr>
    </w:tbl>
    <w:p>
      <w:pPr>
        <w:spacing w:after="120" w:before="120"/>
      </w:pPr>
      <w:r>
        <w:t xml:space="preserve"/>
      </w:r>
    </w:p>
    <w:p>
      <w:pPr>
        <w:pStyle w:val="Heading2"/>
        <w:spacing w:after="120" w:before="240"/>
      </w:pPr>
      <w:r>
        <w:rPr>
          <w:rFonts w:ascii="Arial" w:cs="Arial" w:eastAsia="Arial" w:hAnsi="Arial"/>
          <w:b/>
          <w:bCs/>
          <w:color w:val="9B59B6"/>
          <w:sz w:val="26"/>
          <w:szCs w:val="26"/>
        </w:rPr>
        <w:t xml:space="preserve">1.3 Background Verification</w:t>
      </w:r>
    </w:p>
    <w:p>
      <w:pPr>
        <w:spacing w:after="80" w:before="80"/>
      </w:pPr>
      <w:r>
        <w:rPr>
          <w:rFonts w:ascii="Arial" w:cs="Arial" w:eastAsia="Arial" w:hAnsi="Arial"/>
          <w:sz w:val="22"/>
          <w:szCs w:val="22"/>
        </w:rPr>
        <w:t xml:space="preserve">All offers of employment are contingent upon the successful completion of a background screening. Standard checks include:</w:t>
      </w:r>
    </w:p>
    <w:p>
      <w:pPr>
        <w:pStyle w:val="ListParagraph"/>
        <w:numPr>
          <w:ilvl w:val="0"/>
          <w:numId w:val="2"/>
        </w:numPr>
        <w:spacing w:after="60" w:before="60"/>
      </w:pPr>
      <w:r>
        <w:rPr>
          <w:rFonts w:ascii="Arial" w:cs="Arial" w:eastAsia="Arial" w:hAnsi="Arial"/>
          <w:sz w:val="22"/>
          <w:szCs w:val="22"/>
        </w:rPr>
        <w:t xml:space="preserve">Criminal record check (7-year lookback, jurisdiction-specific)</w:t>
      </w:r>
    </w:p>
    <w:p>
      <w:pPr>
        <w:pStyle w:val="ListParagraph"/>
        <w:numPr>
          <w:ilvl w:val="0"/>
          <w:numId w:val="2"/>
        </w:numPr>
        <w:spacing w:after="60" w:before="60"/>
      </w:pPr>
      <w:r>
        <w:rPr>
          <w:rFonts w:ascii="Arial" w:cs="Arial" w:eastAsia="Arial" w:hAnsi="Arial"/>
          <w:sz w:val="22"/>
          <w:szCs w:val="22"/>
        </w:rPr>
        <w:t xml:space="preserve">Employment history verification (last 5 employers or 10 years)</w:t>
      </w:r>
    </w:p>
    <w:p>
      <w:pPr>
        <w:pStyle w:val="ListParagraph"/>
        <w:numPr>
          <w:ilvl w:val="0"/>
          <w:numId w:val="2"/>
        </w:numPr>
        <w:spacing w:after="60" w:before="60"/>
      </w:pPr>
      <w:r>
        <w:rPr>
          <w:rFonts w:ascii="Arial" w:cs="Arial" w:eastAsia="Arial" w:hAnsi="Arial"/>
          <w:sz w:val="22"/>
          <w:szCs w:val="22"/>
        </w:rPr>
        <w:t xml:space="preserve">Education credentials verification (highest degree claimed)</w:t>
      </w:r>
    </w:p>
    <w:p>
      <w:pPr>
        <w:pStyle w:val="ListParagraph"/>
        <w:numPr>
          <w:ilvl w:val="0"/>
          <w:numId w:val="2"/>
        </w:numPr>
        <w:spacing w:after="60" w:before="60"/>
      </w:pPr>
      <w:r>
        <w:rPr>
          <w:rFonts w:ascii="Arial" w:cs="Arial" w:eastAsia="Arial" w:hAnsi="Arial"/>
          <w:sz w:val="22"/>
          <w:szCs w:val="22"/>
        </w:rPr>
        <w:t xml:space="preserve">Professional license verification (where role-required)</w:t>
      </w:r>
    </w:p>
    <w:p>
      <w:pPr>
        <w:pStyle w:val="ListParagraph"/>
        <w:numPr>
          <w:ilvl w:val="0"/>
          <w:numId w:val="2"/>
        </w:numPr>
        <w:spacing w:after="60" w:before="60"/>
      </w:pPr>
      <w:r>
        <w:rPr>
          <w:rFonts w:ascii="Arial" w:cs="Arial" w:eastAsia="Arial" w:hAnsi="Arial"/>
          <w:sz w:val="22"/>
          <w:szCs w:val="22"/>
        </w:rPr>
        <w:t xml:space="preserve">Credit check (Finance, Legal, and Executive roles only)</w:t>
      </w:r>
    </w:p>
    <w:p>
      <w:pPr>
        <w:pStyle w:val="ListParagraph"/>
        <w:numPr>
          <w:ilvl w:val="0"/>
          <w:numId w:val="2"/>
        </w:numPr>
        <w:spacing w:after="60" w:before="60"/>
      </w:pPr>
      <w:r>
        <w:rPr>
          <w:rFonts w:ascii="Arial" w:cs="Arial" w:eastAsia="Arial" w:hAnsi="Arial"/>
          <w:sz w:val="22"/>
          <w:szCs w:val="22"/>
        </w:rPr>
        <w:t xml:space="preserve">Reference checks (minimum 2 professional references)</w:t>
      </w:r>
    </w:p>
    <w:p>
      <w:pPr>
        <w:spacing w:after="120" w:before="120"/>
      </w:pPr>
      <w:r>
        <w:t xml:space="preserve"/>
      </w:r>
    </w:p>
    <w:p>
      <w:pPr>
        <w:pBdr>
          <w:left w:val="single" w:color="F39C12" w:sz="12" w:space="2"/>
        </w:pBdr>
        <w:shd w:fill="FFF9C4" w:val="clear"/>
        <w:spacing w:after="120" w:before="120"/>
        <w:ind w:left="360"/>
      </w:pPr>
      <w:r>
        <w:rPr>
          <w:rFonts w:ascii="Arial" w:cs="Arial" w:eastAsia="Arial" w:hAnsi="Arial"/>
          <w:i/>
          <w:iCs/>
          <w:color w:val="7D6608"/>
          <w:sz w:val="20"/>
          <w:szCs w:val="20"/>
        </w:rPr>
        <w:t xml:space="preserve">⚠ Note: Background checks are conducted by ClearCheck LLC, a NexaCorp-approved vendor. Results are stored securely and never shared outside the hiring process.</w:t>
      </w:r>
    </w:p>
    <w:p>
      <w:pPr>
        <w:spacing w:after="120" w:before="120"/>
      </w:pPr>
      <w:r>
        <w:t xml:space="preserve"/>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2. Work Hours, Attendance &amp; Remote Work</w:t>
      </w:r>
    </w:p>
    <w:p>
      <w:pPr>
        <w:pStyle w:val="Heading2"/>
        <w:spacing w:after="120" w:before="240"/>
      </w:pPr>
      <w:r>
        <w:rPr>
          <w:rFonts w:ascii="Arial" w:cs="Arial" w:eastAsia="Arial" w:hAnsi="Arial"/>
          <w:b/>
          <w:bCs/>
          <w:color w:val="9B59B6"/>
          <w:sz w:val="26"/>
          <w:szCs w:val="26"/>
        </w:rPr>
        <w:t xml:space="preserve">2.1 Standard Work Hours</w:t>
      </w:r>
    </w:p>
    <w:p>
      <w:pPr>
        <w:spacing w:after="80" w:before="80"/>
      </w:pPr>
      <w:r>
        <w:rPr>
          <w:rFonts w:ascii="Arial" w:cs="Arial" w:eastAsia="Arial" w:hAnsi="Arial"/>
          <w:sz w:val="22"/>
          <w:szCs w:val="22"/>
        </w:rPr>
        <w:t xml:space="preserve">NexaCorp's standard workweek is 40 hours. Core business hours are 9:00 AM to 5:00 PM in the employee's local time zone. Flexible start and end times are permitted within a 7:00 AM – 7:00 PM window, subject to manager approval and business needs.</w:t>
      </w:r>
    </w:p>
    <w:p>
      <w:pPr>
        <w:spacing w:after="120" w:before="120"/>
      </w:pPr>
      <w:r>
        <w:t xml:space="preserve"/>
      </w:r>
    </w:p>
    <w:p>
      <w:pPr>
        <w:pStyle w:val="Heading2"/>
        <w:spacing w:after="120" w:before="240"/>
      </w:pPr>
      <w:r>
        <w:rPr>
          <w:rFonts w:ascii="Arial" w:cs="Arial" w:eastAsia="Arial" w:hAnsi="Arial"/>
          <w:b/>
          <w:bCs/>
          <w:color w:val="9B59B6"/>
          <w:sz w:val="26"/>
          <w:szCs w:val="26"/>
        </w:rPr>
        <w:t xml:space="preserve">2.2 Hybrid Work Policy</w:t>
      </w:r>
    </w:p>
    <w:p>
      <w:pPr>
        <w:spacing w:after="80" w:before="80"/>
      </w:pPr>
      <w:r>
        <w:rPr>
          <w:rFonts w:ascii="Arial" w:cs="Arial" w:eastAsia="Arial" w:hAnsi="Arial"/>
          <w:sz w:val="22"/>
          <w:szCs w:val="22"/>
        </w:rPr>
        <w:t xml:space="preserve">Effective January 2022, NexaCorp operates under a Hybrid-First model. Employees are categorized into three work arrangement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Roles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Office Expectation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Space Allocation</w:t>
            </w:r>
          </w:p>
        </w:tc>
      </w:tr>
      <w:tr>
        <w:tc>
          <w:tcPr>
            <w:tcW w:type="dxa" w:w="2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 1 — Office-Anchored</w:t>
            </w:r>
          </w:p>
        </w:tc>
        <w:tc>
          <w:tcPr>
            <w:tcW w:type="dxa" w:w="2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Executive leadership, Lab engineers, Customer-facing roles at HQ</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4–5 days/week in office</w:t>
            </w:r>
          </w:p>
        </w:tc>
        <w:tc>
          <w:tcPr>
            <w:tcW w:type="dxa" w:w="23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Dedicated desk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 2 — Hybrid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Most corporate, product, and engineering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2–3 days/week in office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Hoteling desk</w:t>
            </w:r>
          </w:p>
        </w:tc>
      </w:tr>
      <w:tr>
        <w:tc>
          <w:tcPr>
            <w:tcW w:type="dxa" w:w="2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 3 — Remote-First</w:t>
            </w:r>
          </w:p>
        </w:tc>
        <w:tc>
          <w:tcPr>
            <w:tcW w:type="dxa" w:w="2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Roles in regions without NexaCorp offices; approved exceptions</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 day/week in office</w:t>
            </w:r>
          </w:p>
        </w:tc>
        <w:tc>
          <w:tcPr>
            <w:tcW w:type="dxa" w:w="23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permanent desk</w:t>
            </w:r>
          </w:p>
        </w:tc>
      </w:tr>
    </w:tbl>
    <w:p>
      <w:pPr>
        <w:spacing w:after="120" w:before="120"/>
      </w:pPr>
      <w:r>
        <w:t xml:space="preserve"/>
      </w:r>
    </w:p>
    <w:p>
      <w:pPr>
        <w:pBdr>
          <w:left w:val="single" w:color="F39C12" w:sz="12" w:space="2"/>
        </w:pBdr>
        <w:shd w:fill="FFF9C4" w:val="clear"/>
        <w:spacing w:after="120" w:before="120"/>
        <w:ind w:left="360"/>
      </w:pPr>
      <w:r>
        <w:rPr>
          <w:rFonts w:ascii="Arial" w:cs="Arial" w:eastAsia="Arial" w:hAnsi="Arial"/>
          <w:i/>
          <w:iCs/>
          <w:color w:val="7D6608"/>
          <w:sz w:val="20"/>
          <w:szCs w:val="20"/>
        </w:rPr>
        <w:t xml:space="preserve">⚠ Note: Tier assignments are made by the direct manager in consultation with HR. Tier changes require 30 days notice and VP-level approval.</w:t>
      </w:r>
    </w:p>
    <w:p>
      <w:pPr>
        <w:spacing w:after="120" w:before="120"/>
      </w:pPr>
      <w:r>
        <w:t xml:space="preserve"/>
      </w:r>
    </w:p>
    <w:p>
      <w:pPr>
        <w:pStyle w:val="Heading2"/>
        <w:spacing w:after="120" w:before="240"/>
      </w:pPr>
      <w:r>
        <w:rPr>
          <w:rFonts w:ascii="Arial" w:cs="Arial" w:eastAsia="Arial" w:hAnsi="Arial"/>
          <w:b/>
          <w:bCs/>
          <w:color w:val="9B59B6"/>
          <w:sz w:val="26"/>
          <w:szCs w:val="26"/>
        </w:rPr>
        <w:t xml:space="preserve">2.3 Overtime Policy</w:t>
      </w:r>
    </w:p>
    <w:p>
      <w:pPr>
        <w:spacing w:after="80" w:before="80"/>
      </w:pPr>
      <w:r>
        <w:rPr>
          <w:rFonts w:ascii="Arial" w:cs="Arial" w:eastAsia="Arial" w:hAnsi="Arial"/>
          <w:sz w:val="22"/>
          <w:szCs w:val="22"/>
        </w:rPr>
        <w:t xml:space="preserve">Non-exempt employees who work more than 40 hours in a workweek are entitled to overtime pay at 1.5x their regular hourly rate. Overtime must be pre-approved in writing by the employee's manager. Exempt employees are not eligible for overtime compensation but may be granted compensatory time off at manager discretion.</w:t>
      </w:r>
    </w:p>
    <w:p>
      <w:pPr>
        <w:spacing w:after="120" w:before="120"/>
      </w:pPr>
      <w:r>
        <w:t xml:space="preserve"/>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3. Leave Policies</w:t>
      </w:r>
    </w:p>
    <w:p>
      <w:pPr>
        <w:spacing w:after="60" w:before="120"/>
      </w:pPr>
      <w:r>
        <w:rPr>
          <w:rFonts w:ascii="Arial" w:cs="Arial" w:eastAsia="Arial" w:hAnsi="Arial"/>
          <w:i/>
          <w:iCs/>
          <w:color w:val="666666"/>
          <w:sz w:val="18"/>
          <w:szCs w:val="18"/>
        </w:rPr>
        <w:t xml:space="preserve">Table 3.1 — Leave Entitlements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400"/>
        <w:gridCol w:w="1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Leave Type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Conditions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Eligibility Start</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Annual Leave (PTO)</w:t>
            </w:r>
          </w:p>
        </w:tc>
        <w:tc>
          <w:tcPr>
            <w:tcW w:type="dxa" w:w="29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 days (Yr 0–2), 20 days (Yr 3–5), 25 days (Yr 6+)</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cap; rollover max 10 days to next year</w:t>
            </w:r>
          </w:p>
        </w:tc>
        <w:tc>
          <w:tcPr>
            <w:tcW w:type="dxa" w:w="1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Sick Leave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days/year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 to 5 days carry-over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Parental Leave (Primary)</w:t>
            </w:r>
          </w:p>
        </w:tc>
        <w:tc>
          <w:tcPr>
            <w:tcW w:type="dxa" w:w="29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 weeks fully paid</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Must be taken within 12 months of birth/adoption</w:t>
            </w:r>
          </w:p>
        </w:tc>
        <w:tc>
          <w:tcPr>
            <w:tcW w:type="dxa" w:w="1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After 6 months tenure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Parental Leave (Secondary)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weeks fully paid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Must be taken within 12 months of birth/adoption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After 6 months tenure</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Bereavement Leave</w:t>
            </w:r>
          </w:p>
        </w:tc>
        <w:tc>
          <w:tcPr>
            <w:tcW w:type="dxa" w:w="29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days (immediate family), 2 days (extended)</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Additional unpaid leave available</w:t>
            </w:r>
          </w:p>
        </w:tc>
        <w:tc>
          <w:tcPr>
            <w:tcW w:type="dxa" w:w="1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Jury Duty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 to 10 days paid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pay; must provide documentation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Military Leave</w:t>
            </w:r>
          </w:p>
        </w:tc>
        <w:tc>
          <w:tcPr>
            <w:tcW w:type="dxa" w:w="29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 applicable law</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Continued benefits during leave</w:t>
            </w:r>
          </w:p>
        </w:tc>
        <w:tc>
          <w:tcPr>
            <w:tcW w:type="dxa" w:w="1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Sabbatical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weeks (after 5 years), 8 weeks (after 10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One-time per milestone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 milestone</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Mental Health Days</w:t>
            </w:r>
          </w:p>
        </w:tc>
        <w:tc>
          <w:tcPr>
            <w:tcW w:type="dxa" w:w="29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 to 4 days/year</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Draws from Sick Leave balance</w:t>
            </w:r>
          </w:p>
        </w:tc>
        <w:tc>
          <w:tcPr>
            <w:tcW w:type="dxa" w:w="1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w:t>
            </w:r>
          </w:p>
        </w:tc>
      </w:tr>
    </w:tbl>
    <w:p>
      <w:pPr>
        <w:spacing w:after="120" w:before="120"/>
      </w:pPr>
      <w:r>
        <w:t xml:space="preserve"/>
      </w:r>
    </w:p>
    <w:p>
      <w:pPr>
        <w:pStyle w:val="Heading2"/>
        <w:spacing w:after="120" w:before="240"/>
      </w:pPr>
      <w:r>
        <w:rPr>
          <w:rFonts w:ascii="Arial" w:cs="Arial" w:eastAsia="Arial" w:hAnsi="Arial"/>
          <w:b/>
          <w:bCs/>
          <w:color w:val="9B59B6"/>
          <w:sz w:val="26"/>
          <w:szCs w:val="26"/>
        </w:rPr>
        <w:t xml:space="preserve">3.1 Leave Request Procedure</w:t>
      </w:r>
    </w:p>
    <w:p>
      <w:pPr>
        <w:pStyle w:val="ListParagraph"/>
        <w:numPr>
          <w:ilvl w:val="0"/>
          <w:numId w:val="3"/>
        </w:numPr>
        <w:spacing w:after="60" w:before="60"/>
      </w:pPr>
      <w:r>
        <w:rPr>
          <w:rFonts w:ascii="Arial" w:cs="Arial" w:eastAsia="Arial" w:hAnsi="Arial"/>
          <w:sz w:val="22"/>
          <w:szCs w:val="22"/>
        </w:rPr>
        <w:t xml:space="preserve">Submit leave request via NexaHR portal at least 5 business days in advance for planned leave (14 days for leaves exceeding 2 weeks).</w:t>
      </w:r>
    </w:p>
    <w:p>
      <w:pPr>
        <w:pStyle w:val="ListParagraph"/>
        <w:numPr>
          <w:ilvl w:val="0"/>
          <w:numId w:val="3"/>
        </w:numPr>
        <w:spacing w:after="60" w:before="60"/>
      </w:pPr>
      <w:r>
        <w:rPr>
          <w:rFonts w:ascii="Arial" w:cs="Arial" w:eastAsia="Arial" w:hAnsi="Arial"/>
          <w:sz w:val="22"/>
          <w:szCs w:val="22"/>
        </w:rPr>
        <w:t xml:space="preserve">For unplanned absence (illness, emergency), notify your direct manager by 9:00 AM on the day of absence via phone or Slack.</w:t>
      </w:r>
    </w:p>
    <w:p>
      <w:pPr>
        <w:pStyle w:val="ListParagraph"/>
        <w:numPr>
          <w:ilvl w:val="0"/>
          <w:numId w:val="3"/>
        </w:numPr>
        <w:spacing w:after="60" w:before="60"/>
      </w:pPr>
      <w:r>
        <w:rPr>
          <w:rFonts w:ascii="Arial" w:cs="Arial" w:eastAsia="Arial" w:hAnsi="Arial"/>
          <w:sz w:val="22"/>
          <w:szCs w:val="22"/>
        </w:rPr>
        <w:t xml:space="preserve">Parental leave applications must be submitted to HR at least 60 days before expected commencement.</w:t>
      </w:r>
    </w:p>
    <w:p>
      <w:pPr>
        <w:pStyle w:val="ListParagraph"/>
        <w:numPr>
          <w:ilvl w:val="0"/>
          <w:numId w:val="3"/>
        </w:numPr>
        <w:spacing w:after="60" w:before="60"/>
      </w:pPr>
      <w:r>
        <w:rPr>
          <w:rFonts w:ascii="Arial" w:cs="Arial" w:eastAsia="Arial" w:hAnsi="Arial"/>
          <w:sz w:val="22"/>
          <w:szCs w:val="22"/>
        </w:rPr>
        <w:t xml:space="preserve">Leave approvals are at manager discretion except for legally mandated leaves (parental, jury duty, military, FMLA).</w:t>
      </w:r>
    </w:p>
    <w:p>
      <w:pPr>
        <w:spacing w:after="120" w:before="120"/>
      </w:pPr>
      <w:r>
        <w:t xml:space="preserve"/>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4. Code of Conduct &amp; Ethics</w:t>
      </w:r>
    </w:p>
    <w:p>
      <w:pPr>
        <w:pStyle w:val="Heading2"/>
        <w:spacing w:after="120" w:before="240"/>
      </w:pPr>
      <w:r>
        <w:rPr>
          <w:rFonts w:ascii="Arial" w:cs="Arial" w:eastAsia="Arial" w:hAnsi="Arial"/>
          <w:b/>
          <w:bCs/>
          <w:color w:val="9B59B6"/>
          <w:sz w:val="26"/>
          <w:szCs w:val="26"/>
        </w:rPr>
        <w:t xml:space="preserve">4.1 Professional Conduct Standards</w:t>
      </w:r>
    </w:p>
    <w:p>
      <w:pPr>
        <w:spacing w:after="80" w:before="80"/>
      </w:pPr>
      <w:r>
        <w:rPr>
          <w:rFonts w:ascii="Arial" w:cs="Arial" w:eastAsia="Arial" w:hAnsi="Arial"/>
          <w:sz w:val="22"/>
          <w:szCs w:val="22"/>
        </w:rPr>
        <w:t xml:space="preserve">All NexaCorp employees are expected to conduct themselves with the highest standards of integrity, professionalism, and respect. The following behaviors are explicitly required:</w:t>
      </w:r>
    </w:p>
    <w:p>
      <w:pPr>
        <w:pStyle w:val="ListParagraph"/>
        <w:numPr>
          <w:ilvl w:val="0"/>
          <w:numId w:val="2"/>
        </w:numPr>
        <w:spacing w:after="60" w:before="60"/>
      </w:pPr>
      <w:r>
        <w:rPr>
          <w:rFonts w:ascii="Arial" w:cs="Arial" w:eastAsia="Arial" w:hAnsi="Arial"/>
          <w:sz w:val="22"/>
          <w:szCs w:val="22"/>
        </w:rPr>
        <w:t xml:space="preserve">Treat all colleagues, customers, and partners with dignity and respect regardless of their background, role, or viewpoint.</w:t>
      </w:r>
    </w:p>
    <w:p>
      <w:pPr>
        <w:pStyle w:val="ListParagraph"/>
        <w:numPr>
          <w:ilvl w:val="0"/>
          <w:numId w:val="2"/>
        </w:numPr>
        <w:spacing w:after="60" w:before="60"/>
      </w:pPr>
      <w:r>
        <w:rPr>
          <w:rFonts w:ascii="Arial" w:cs="Arial" w:eastAsia="Arial" w:hAnsi="Arial"/>
          <w:sz w:val="22"/>
          <w:szCs w:val="22"/>
        </w:rPr>
        <w:t xml:space="preserve">Maintain confidentiality of NexaCorp's proprietary information, customer data, and non-public business information.</w:t>
      </w:r>
    </w:p>
    <w:p>
      <w:pPr>
        <w:pStyle w:val="ListParagraph"/>
        <w:numPr>
          <w:ilvl w:val="0"/>
          <w:numId w:val="2"/>
        </w:numPr>
        <w:spacing w:after="60" w:before="60"/>
      </w:pPr>
      <w:r>
        <w:rPr>
          <w:rFonts w:ascii="Arial" w:cs="Arial" w:eastAsia="Arial" w:hAnsi="Arial"/>
          <w:sz w:val="22"/>
          <w:szCs w:val="22"/>
        </w:rPr>
        <w:t xml:space="preserve">Declare and appropriately manage conflicts of interest through the annual COI Disclosure Form.</w:t>
      </w:r>
    </w:p>
    <w:p>
      <w:pPr>
        <w:pStyle w:val="ListParagraph"/>
        <w:numPr>
          <w:ilvl w:val="0"/>
          <w:numId w:val="2"/>
        </w:numPr>
        <w:spacing w:after="60" w:before="60"/>
      </w:pPr>
      <w:r>
        <w:rPr>
          <w:rFonts w:ascii="Arial" w:cs="Arial" w:eastAsia="Arial" w:hAnsi="Arial"/>
          <w:sz w:val="22"/>
          <w:szCs w:val="22"/>
        </w:rPr>
        <w:t xml:space="preserve">Use company assets—including hardware, software licenses, and cloud resources—solely for legitimate business purposes.</w:t>
      </w:r>
    </w:p>
    <w:p>
      <w:pPr>
        <w:pStyle w:val="ListParagraph"/>
        <w:numPr>
          <w:ilvl w:val="0"/>
          <w:numId w:val="2"/>
        </w:numPr>
        <w:spacing w:after="60" w:before="60"/>
      </w:pPr>
      <w:r>
        <w:rPr>
          <w:rFonts w:ascii="Arial" w:cs="Arial" w:eastAsia="Arial" w:hAnsi="Arial"/>
          <w:sz w:val="22"/>
          <w:szCs w:val="22"/>
        </w:rPr>
        <w:t xml:space="preserve">Report violations or suspected violations of this Code promptly via NexaCorp's Ethics Hotline (1-800-NEX-ETHI or ethics@nexacorp.com).</w:t>
      </w:r>
    </w:p>
    <w:p>
      <w:pPr>
        <w:spacing w:after="120" w:before="120"/>
      </w:pPr>
      <w:r>
        <w:t xml:space="preserve"/>
      </w:r>
    </w:p>
    <w:p>
      <w:pPr>
        <w:pStyle w:val="Heading2"/>
        <w:spacing w:after="120" w:before="240"/>
      </w:pPr>
      <w:r>
        <w:rPr>
          <w:rFonts w:ascii="Arial" w:cs="Arial" w:eastAsia="Arial" w:hAnsi="Arial"/>
          <w:b/>
          <w:bCs/>
          <w:color w:val="9B59B6"/>
          <w:sz w:val="26"/>
          <w:szCs w:val="26"/>
        </w:rPr>
        <w:t xml:space="preserve">4.2 Anti-Harassment &amp; Non-Discrimination</w:t>
      </w:r>
    </w:p>
    <w:p>
      <w:pPr>
        <w:spacing w:after="80" w:before="80"/>
      </w:pPr>
      <w:r>
        <w:rPr>
          <w:rFonts w:ascii="Arial" w:cs="Arial" w:eastAsia="Arial" w:hAnsi="Arial"/>
          <w:sz w:val="22"/>
          <w:szCs w:val="22"/>
        </w:rPr>
        <w:t xml:space="preserve">NexaCorp has a zero-tolerance policy for harassment in any form, including sexual harassment, bullying, intimidation, or any other conduct that creates a hostile work environment. This policy applies in all work-related contexts including offices, client sites, virtual meetings, and company-sponsored events.</w:t>
      </w:r>
    </w:p>
    <w:p>
      <w:pPr>
        <w:spacing w:after="120" w:before="120"/>
      </w:pPr>
      <w:r>
        <w:t xml:space="preserve"/>
      </w:r>
    </w:p>
    <w:p>
      <w:pPr>
        <w:spacing w:after="80" w:before="80"/>
      </w:pPr>
      <w:r>
        <w:rPr>
          <w:rFonts w:ascii="Arial" w:cs="Arial" w:eastAsia="Arial" w:hAnsi="Arial"/>
          <w:sz w:val="22"/>
          <w:szCs w:val="22"/>
        </w:rPr>
        <w:t xml:space="preserve">Disciplinary action for substantiated violations ranges from formal written warning to immediate termination, depending on severity, frequency, and other relevant factors. All investigations are conducted by HR and Legal with full confidentiality.</w:t>
      </w:r>
    </w:p>
    <w:p>
      <w:pPr>
        <w:spacing w:after="120" w:before="120"/>
      </w:pPr>
      <w:r>
        <w:t xml:space="preserve"/>
      </w:r>
    </w:p>
    <w:p>
      <w:pPr>
        <w:pStyle w:val="Heading2"/>
        <w:spacing w:after="120" w:before="240"/>
      </w:pPr>
      <w:r>
        <w:rPr>
          <w:rFonts w:ascii="Arial" w:cs="Arial" w:eastAsia="Arial" w:hAnsi="Arial"/>
          <w:b/>
          <w:bCs/>
          <w:color w:val="9B59B6"/>
          <w:sz w:val="26"/>
          <w:szCs w:val="26"/>
        </w:rPr>
        <w:t xml:space="preserve">4.3 Social Media Policy</w:t>
      </w:r>
    </w:p>
    <w:p>
      <w:pPr>
        <w:spacing w:after="80" w:before="80"/>
      </w:pPr>
      <w:r>
        <w:rPr>
          <w:rFonts w:ascii="Arial" w:cs="Arial" w:eastAsia="Arial" w:hAnsi="Arial"/>
          <w:sz w:val="22"/>
          <w:szCs w:val="22"/>
        </w:rPr>
        <w:t xml:space="preserve">Employees may use social media for personal purposes outside of work hours. The following rules apply to all social media activities that could be associated with NexaCorp:</w:t>
      </w:r>
    </w:p>
    <w:p>
      <w:pPr>
        <w:pStyle w:val="ListParagraph"/>
        <w:numPr>
          <w:ilvl w:val="0"/>
          <w:numId w:val="2"/>
        </w:numPr>
        <w:spacing w:after="60" w:before="60"/>
      </w:pPr>
      <w:r>
        <w:rPr>
          <w:rFonts w:ascii="Arial" w:cs="Arial" w:eastAsia="Arial" w:hAnsi="Arial"/>
          <w:sz w:val="22"/>
          <w:szCs w:val="22"/>
        </w:rPr>
        <w:t xml:space="preserve">Never disclose material non-public information about NexaCorp or its customers.</w:t>
      </w:r>
    </w:p>
    <w:p>
      <w:pPr>
        <w:pStyle w:val="ListParagraph"/>
        <w:numPr>
          <w:ilvl w:val="0"/>
          <w:numId w:val="2"/>
        </w:numPr>
        <w:spacing w:after="60" w:before="60"/>
      </w:pPr>
      <w:r>
        <w:rPr>
          <w:rFonts w:ascii="Arial" w:cs="Arial" w:eastAsia="Arial" w:hAnsi="Arial"/>
          <w:sz w:val="22"/>
          <w:szCs w:val="22"/>
        </w:rPr>
        <w:t xml:space="preserve">Do not claim to speak on behalf of NexaCorp unless explicitly authorized by Corporate Communications.</w:t>
      </w:r>
    </w:p>
    <w:p>
      <w:pPr>
        <w:pStyle w:val="ListParagraph"/>
        <w:numPr>
          <w:ilvl w:val="0"/>
          <w:numId w:val="2"/>
        </w:numPr>
        <w:spacing w:after="60" w:before="60"/>
      </w:pPr>
      <w:r>
        <w:rPr>
          <w:rFonts w:ascii="Arial" w:cs="Arial" w:eastAsia="Arial" w:hAnsi="Arial"/>
          <w:sz w:val="22"/>
          <w:szCs w:val="22"/>
        </w:rPr>
        <w:t xml:space="preserve">Content that constitutes harassment, discrimination, or that disparages NexaCorp, customers, or colleagues is prohibited.</w:t>
      </w:r>
    </w:p>
    <w:p>
      <w:pPr>
        <w:pStyle w:val="ListParagraph"/>
        <w:numPr>
          <w:ilvl w:val="0"/>
          <w:numId w:val="2"/>
        </w:numPr>
        <w:spacing w:after="60" w:before="60"/>
      </w:pPr>
      <w:r>
        <w:rPr>
          <w:rFonts w:ascii="Arial" w:cs="Arial" w:eastAsia="Arial" w:hAnsi="Arial"/>
          <w:sz w:val="22"/>
          <w:szCs w:val="22"/>
        </w:rPr>
        <w:t xml:space="preserve">Use of the NexaCorp name or logo on personal profiles requires approval from Corporate Communications.</w:t>
      </w:r>
    </w:p>
    <w:p>
      <w:pPr>
        <w:spacing w:after="120" w:before="120"/>
      </w:pPr>
      <w:r>
        <w:t xml:space="preserve"/>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5. Performance Management</w:t>
      </w:r>
    </w:p>
    <w:p>
      <w:pPr>
        <w:pStyle w:val="Heading2"/>
        <w:spacing w:after="120" w:before="240"/>
      </w:pPr>
      <w:r>
        <w:rPr>
          <w:rFonts w:ascii="Arial" w:cs="Arial" w:eastAsia="Arial" w:hAnsi="Arial"/>
          <w:b/>
          <w:bCs/>
          <w:color w:val="9B59B6"/>
          <w:sz w:val="26"/>
          <w:szCs w:val="26"/>
        </w:rPr>
        <w:t xml:space="preserve">5.1 Performance Review Cycle</w:t>
      </w:r>
    </w:p>
    <w:p>
      <w:pPr>
        <w:spacing w:after="80" w:before="80"/>
      </w:pPr>
      <w:r>
        <w:rPr>
          <w:rFonts w:ascii="Arial" w:cs="Arial" w:eastAsia="Arial" w:hAnsi="Arial"/>
          <w:sz w:val="22"/>
          <w:szCs w:val="22"/>
        </w:rPr>
        <w:t xml:space="preserve">NexaCorp operates a bi-annual performance review cycle with formal reviews in June (Mid-Year Check-In) and December (Annual Review). Continuous feedback is encouraged throughout the year via the NexaPerform platform.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2000"/>
        <w:gridCol w:w="24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Participants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r>
      <w:tr>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January</w:t>
            </w:r>
          </w:p>
        </w:tc>
        <w:tc>
          <w:tcPr>
            <w:tcW w:type="dxa" w:w="3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Goal-setting: Employees finalize OKRs with manager approval</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Employee, Manager</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NexaPerform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June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Mid-Year Review: Progress vs. OKRs, development discussion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Employee, Manager, 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NexaPerform</w:t>
            </w:r>
          </w:p>
        </w:tc>
      </w:tr>
      <w:tr>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October</w:t>
            </w:r>
          </w:p>
        </w:tc>
        <w:tc>
          <w:tcPr>
            <w:tcW w:type="dxa" w:w="3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Calibration Prep: Managers submit preliminary ratings to HR</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Manager, HR</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 HR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November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Calibration Sessions: Cross-functional rating alignment by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VPs, 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HR-Led Meeting</w:t>
            </w:r>
          </w:p>
        </w:tc>
      </w:tr>
      <w:tr>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December</w:t>
            </w:r>
          </w:p>
        </w:tc>
        <w:tc>
          <w:tcPr>
            <w:tcW w:type="dxa" w:w="3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Annual Review: Final ratings, compensation decisions, development planning</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Employee, Manager, HR</w:t>
            </w:r>
          </w:p>
        </w:tc>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NexaPerform</w:t>
            </w:r>
          </w:p>
        </w:tc>
      </w:tr>
    </w:tbl>
    <w:p>
      <w:pPr>
        <w:spacing w:after="120" w:before="120"/>
      </w:pPr>
      <w:r>
        <w:t xml:space="preserve"/>
      </w:r>
    </w:p>
    <w:p>
      <w:pPr>
        <w:pStyle w:val="Heading2"/>
        <w:spacing w:after="120" w:before="240"/>
      </w:pPr>
      <w:r>
        <w:rPr>
          <w:rFonts w:ascii="Arial" w:cs="Arial" w:eastAsia="Arial" w:hAnsi="Arial"/>
          <w:b/>
          <w:bCs/>
          <w:color w:val="9B59B6"/>
          <w:sz w:val="26"/>
          <w:szCs w:val="26"/>
        </w:rPr>
        <w:t xml:space="preserve">5.2 Performance 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Consequence</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 Exceptional</w:t>
            </w:r>
          </w:p>
        </w:tc>
        <w:tc>
          <w:tcPr>
            <w:tcW w:type="dxa" w:w="3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Consistently exceeds all expectations; role model for the organization</w:t>
            </w:r>
          </w:p>
        </w:tc>
        <w:tc>
          <w:tcPr>
            <w:tcW w:type="dxa" w:w="3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 ~10% eligible for accelerated compensation &amp; fast-track promotion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 Exceeds Expectations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Regularly surpasses most goals with meaningful impact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Eligible for above-target merit increase &amp; bonus</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 Meets Expectations</w:t>
            </w:r>
          </w:p>
        </w:tc>
        <w:tc>
          <w:tcPr>
            <w:tcW w:type="dxa" w:w="3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Achieves the majority of goals; performs at the level expected</w:t>
            </w:r>
          </w:p>
        </w:tc>
        <w:tc>
          <w:tcPr>
            <w:tcW w:type="dxa" w:w="3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merit increase &amp; target bonus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 Partially Meets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Achieves some goals; gaps identified in key performance areas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Improvement Plan (PIP) required within 30 days</w:t>
            </w:r>
          </w:p>
        </w:tc>
      </w:tr>
      <w:tr>
        <w:tc>
          <w:tcPr>
            <w:tcW w:type="dxa" w:w="2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 Does Not Meet</w:t>
            </w:r>
          </w:p>
        </w:tc>
        <w:tc>
          <w:tcPr>
            <w:tcW w:type="dxa" w:w="37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Significant performance gaps; unable to achieve core responsibilities</w:t>
            </w:r>
          </w:p>
        </w:tc>
        <w:tc>
          <w:tcPr>
            <w:tcW w:type="dxa" w:w="3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Immediate PIP; termination may follow if not resolved within 60 days</w:t>
            </w:r>
          </w:p>
        </w:tc>
      </w:tr>
    </w:tbl>
    <w:p>
      <w:pPr>
        <w:spacing w:after="120" w:before="120"/>
      </w:pPr>
      <w:r>
        <w:t xml:space="preserve"/>
      </w:r>
    </w:p>
    <w:p>
      <w:r>
        <w:br w:type="page"/>
      </w:r>
    </w:p>
    <w:p>
      <w:pPr>
        <w:pStyle w:val="Heading1"/>
        <w:pBdr>
          <w:bottom w:val="single" w:color="7B2D8B" w:sz="6" w:space="1"/>
        </w:pBdr>
        <w:spacing w:after="180" w:before="360"/>
      </w:pPr>
      <w:r>
        <w:rPr>
          <w:rFonts w:ascii="Arial" w:cs="Arial" w:eastAsia="Arial" w:hAnsi="Arial"/>
          <w:b/>
          <w:bCs/>
          <w:color w:val="7B2D8B"/>
          <w:sz w:val="32"/>
          <w:szCs w:val="32"/>
        </w:rPr>
        <w:t xml:space="preserve">6. Compensation &amp; Benefits</w:t>
      </w:r>
    </w:p>
    <w:p>
      <w:pPr>
        <w:pStyle w:val="Heading2"/>
        <w:spacing w:after="120" w:before="240"/>
      </w:pPr>
      <w:r>
        <w:rPr>
          <w:rFonts w:ascii="Arial" w:cs="Arial" w:eastAsia="Arial" w:hAnsi="Arial"/>
          <w:b/>
          <w:bCs/>
          <w:color w:val="9B59B6"/>
          <w:sz w:val="26"/>
          <w:szCs w:val="26"/>
        </w:rPr>
        <w:t xml:space="preserve">6.1 Compensation Philosophy</w:t>
      </w:r>
    </w:p>
    <w:p>
      <w:pPr>
        <w:spacing w:after="80" w:before="80"/>
      </w:pPr>
      <w:r>
        <w:rPr>
          <w:rFonts w:ascii="Arial" w:cs="Arial" w:eastAsia="Arial" w:hAnsi="Arial"/>
          <w:sz w:val="22"/>
          <w:szCs w:val="22"/>
        </w:rPr>
        <w:t xml:space="preserve">NexaCorp targets total compensation at the 65th percentile of the market (defined as our primary talent peer group of 22 publicly traded enterprise SaaS companies) for standard roles, and at the 75th percentile for critical/hard-to-fill technical roles. Market data is refreshed annually using Radford and Mercer survey data.</w:t>
      </w:r>
    </w:p>
    <w:p>
      <w:pPr>
        <w:spacing w:after="120" w:before="120"/>
      </w:pPr>
      <w:r>
        <w:t xml:space="preserve"/>
      </w:r>
    </w:p>
    <w:p>
      <w:pPr>
        <w:pStyle w:val="Heading2"/>
        <w:spacing w:after="120" w:before="240"/>
      </w:pPr>
      <w:r>
        <w:rPr>
          <w:rFonts w:ascii="Arial" w:cs="Arial" w:eastAsia="Arial" w:hAnsi="Arial"/>
          <w:b/>
          <w:bCs/>
          <w:color w:val="9B59B6"/>
          <w:sz w:val="26"/>
          <w:szCs w:val="26"/>
        </w:rPr>
        <w:t xml:space="preserve">6.2 Salary Bands (FY2024)</w:t>
      </w:r>
    </w:p>
    <w:p>
      <w:pPr>
        <w:spacing w:after="60" w:before="120"/>
      </w:pPr>
      <w:r>
        <w:rPr>
          <w:rFonts w:ascii="Arial" w:cs="Arial" w:eastAsia="Arial" w:hAnsi="Arial"/>
          <w:i/>
          <w:iCs/>
          <w:color w:val="666666"/>
          <w:sz w:val="18"/>
          <w:szCs w:val="18"/>
        </w:rPr>
        <w:t xml:space="preserve">Table 6.1 — Job Level &amp; Salary Band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0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Typical Experience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Salary Range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Bonus % of Base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Equity (% of Company)</w:t>
            </w:r>
          </w:p>
        </w:tc>
      </w:tr>
      <w:tr>
        <w:tc>
          <w:tcPr>
            <w:tcW w:type="dxa" w:w="1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IC1 / Associate</w:t>
            </w:r>
          </w:p>
        </w:tc>
        <w:tc>
          <w:tcPr>
            <w:tcW w:type="dxa" w:w="1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 years</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$75K – $95K</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 – 8%</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0.05% – 0.10%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IC2 / Mid-Level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$95K – $135K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 – 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0.10% – 0.25%</w:t>
            </w:r>
          </w:p>
        </w:tc>
      </w:tr>
      <w:tr>
        <w:tc>
          <w:tcPr>
            <w:tcW w:type="dxa" w:w="1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IC3 / Senior</w:t>
            </w:r>
          </w:p>
        </w:tc>
        <w:tc>
          <w:tcPr>
            <w:tcW w:type="dxa" w:w="1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5–8 years</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$135K – $185K</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 – 18%</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 – 0.50%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IC4 / 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8–12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$185K – $240K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 – 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 – 0.80%</w:t>
            </w:r>
          </w:p>
        </w:tc>
      </w:tr>
      <w:tr>
        <w:tc>
          <w:tcPr>
            <w:tcW w:type="dxa" w:w="1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IC5 / Principal</w:t>
            </w:r>
          </w:p>
        </w:tc>
        <w:tc>
          <w:tcPr>
            <w:tcW w:type="dxa" w:w="1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 years</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$240K – $310K</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 – 28%</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0.70% – 1.50%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M1 /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$155K – $210K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 – 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 – 0.50%</w:t>
            </w:r>
          </w:p>
        </w:tc>
      </w:tr>
      <w:tr>
        <w:tc>
          <w:tcPr>
            <w:tcW w:type="dxa" w:w="1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M2 / Sr. Manager</w:t>
            </w:r>
          </w:p>
        </w:tc>
        <w:tc>
          <w:tcPr>
            <w:tcW w:type="dxa" w:w="1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$210K – $270K</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 – 28%</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0.40% – 0.80%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M3 / Director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$270K – $350K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 – 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0.60% – 1.20%</w:t>
            </w:r>
          </w:p>
        </w:tc>
      </w:tr>
      <w:tr>
        <w:tc>
          <w:tcPr>
            <w:tcW w:type="dxa" w:w="18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VP / Executive</w:t>
            </w:r>
          </w:p>
        </w:tc>
        <w:tc>
          <w:tcPr>
            <w:tcW w:type="dxa" w:w="14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$350K – $600K</w:t>
            </w:r>
          </w:p>
        </w:tc>
        <w:tc>
          <w:tcPr>
            <w:tcW w:type="dxa" w:w="20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 – 50%</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 – 3.00%</w:t>
            </w:r>
          </w:p>
        </w:tc>
      </w:tr>
    </w:tbl>
    <w:p>
      <w:pPr>
        <w:spacing w:after="120" w:before="120"/>
      </w:pPr>
      <w:r>
        <w:t xml:space="preserve"/>
      </w:r>
    </w:p>
    <w:p>
      <w:pPr>
        <w:pBdr>
          <w:left w:val="single" w:color="F39C12" w:sz="12" w:space="2"/>
        </w:pBdr>
        <w:shd w:fill="FFF9C4" w:val="clear"/>
        <w:spacing w:after="120" w:before="120"/>
        <w:ind w:left="360"/>
      </w:pPr>
      <w:r>
        <w:rPr>
          <w:rFonts w:ascii="Arial" w:cs="Arial" w:eastAsia="Arial" w:hAnsi="Arial"/>
          <w:i/>
          <w:iCs/>
          <w:color w:val="7D6608"/>
          <w:sz w:val="20"/>
          <w:szCs w:val="20"/>
        </w:rPr>
        <w:t xml:space="preserve">⚠ Note: Salary ranges are for the San Francisco Bay Area. Adjustments are applied for other locations using a geographic index (range: 0.75x–1.10x SF Bay Area). India Bangalore office uses separate band structures.</w:t>
      </w:r>
    </w:p>
    <w:p>
      <w:pPr>
        <w:spacing w:after="120" w:before="120"/>
      </w:pPr>
      <w:r>
        <w:t xml:space="preserve"/>
      </w:r>
    </w:p>
    <w:p>
      <w:pPr>
        <w:pStyle w:val="Heading2"/>
        <w:spacing w:after="120" w:before="240"/>
      </w:pPr>
      <w:r>
        <w:rPr>
          <w:rFonts w:ascii="Arial" w:cs="Arial" w:eastAsia="Arial" w:hAnsi="Arial"/>
          <w:b/>
          <w:bCs/>
          <w:color w:val="9B59B6"/>
          <w:sz w:val="26"/>
          <w:szCs w:val="26"/>
        </w:rPr>
        <w:t xml:space="preserve">6.3 Benefits Overview</w:t>
      </w:r>
    </w:p>
    <w:p>
      <w:pPr>
        <w:spacing w:after="80" w:before="80"/>
      </w:pPr>
      <w:r>
        <w:rPr>
          <w:rFonts w:ascii="Arial" w:cs="Arial" w:eastAsia="Arial" w:hAnsi="Arial"/>
          <w:sz w:val="22"/>
          <w:szCs w:val="22"/>
        </w:rPr>
        <w:t xml:space="preserve">NexaCorp provides a comprehensive benefits package to all full-time regular employees. Key benefits include:</w:t>
      </w:r>
    </w:p>
    <w:p>
      <w:pPr>
        <w:pStyle w:val="ListParagraph"/>
        <w:numPr>
          <w:ilvl w:val="0"/>
          <w:numId w:val="2"/>
        </w:numPr>
        <w:spacing w:after="60" w:before="60"/>
      </w:pPr>
      <w:r>
        <w:rPr>
          <w:rFonts w:ascii="Arial" w:cs="Arial" w:eastAsia="Arial" w:hAnsi="Arial"/>
          <w:sz w:val="22"/>
          <w:szCs w:val="22"/>
        </w:rPr>
        <w:t xml:space="preserve">Medical, Dental &amp; Vision: 100% premium coverage for employee; 75% for eligible dependents (Blue Shield PPO, Kaiser HMO, or Delta Dental)</w:t>
      </w:r>
    </w:p>
    <w:p>
      <w:pPr>
        <w:pStyle w:val="ListParagraph"/>
        <w:numPr>
          <w:ilvl w:val="0"/>
          <w:numId w:val="2"/>
        </w:numPr>
        <w:spacing w:after="60" w:before="60"/>
      </w:pPr>
      <w:r>
        <w:rPr>
          <w:rFonts w:ascii="Arial" w:cs="Arial" w:eastAsia="Arial" w:hAnsi="Arial"/>
          <w:sz w:val="22"/>
          <w:szCs w:val="22"/>
        </w:rPr>
        <w:t xml:space="preserve">401(k): Company match of 100% on first 4% of eligible compensation, immediately vested</w:t>
      </w:r>
    </w:p>
    <w:p>
      <w:pPr>
        <w:pStyle w:val="ListParagraph"/>
        <w:numPr>
          <w:ilvl w:val="0"/>
          <w:numId w:val="2"/>
        </w:numPr>
        <w:spacing w:after="60" w:before="60"/>
      </w:pPr>
      <w:r>
        <w:rPr>
          <w:rFonts w:ascii="Arial" w:cs="Arial" w:eastAsia="Arial" w:hAnsi="Arial"/>
          <w:sz w:val="22"/>
          <w:szCs w:val="22"/>
        </w:rPr>
        <w:t xml:space="preserve">Employee Stock Purchase Plan (ESPP): 15% discount on NXCL shares, up to $25,000/year</w:t>
      </w:r>
    </w:p>
    <w:p>
      <w:pPr>
        <w:pStyle w:val="ListParagraph"/>
        <w:numPr>
          <w:ilvl w:val="0"/>
          <w:numId w:val="2"/>
        </w:numPr>
        <w:spacing w:after="60" w:before="60"/>
      </w:pPr>
      <w:r>
        <w:rPr>
          <w:rFonts w:ascii="Arial" w:cs="Arial" w:eastAsia="Arial" w:hAnsi="Arial"/>
          <w:sz w:val="22"/>
          <w:szCs w:val="22"/>
        </w:rPr>
        <w:t xml:space="preserve">Life &amp; Disability Insurance: 2x annual salary life insurance; 60% salary long-term disability</w:t>
      </w:r>
    </w:p>
    <w:p>
      <w:pPr>
        <w:pStyle w:val="ListParagraph"/>
        <w:numPr>
          <w:ilvl w:val="0"/>
          <w:numId w:val="2"/>
        </w:numPr>
        <w:spacing w:after="60" w:before="60"/>
      </w:pPr>
      <w:r>
        <w:rPr>
          <w:rFonts w:ascii="Arial" w:cs="Arial" w:eastAsia="Arial" w:hAnsi="Arial"/>
          <w:sz w:val="22"/>
          <w:szCs w:val="22"/>
        </w:rPr>
        <w:t xml:space="preserve">Mental Health &amp; Wellness: $2,000/year wellness stipend; EAP with unlimited therapy sessions (Spring Health)</w:t>
      </w:r>
    </w:p>
    <w:p>
      <w:pPr>
        <w:pStyle w:val="ListParagraph"/>
        <w:numPr>
          <w:ilvl w:val="0"/>
          <w:numId w:val="2"/>
        </w:numPr>
        <w:spacing w:after="60" w:before="60"/>
      </w:pPr>
      <w:r>
        <w:rPr>
          <w:rFonts w:ascii="Arial" w:cs="Arial" w:eastAsia="Arial" w:hAnsi="Arial"/>
          <w:sz w:val="22"/>
          <w:szCs w:val="22"/>
        </w:rPr>
        <w:t xml:space="preserve">Learning &amp; Development: $3,500/year education stipend; access to LinkedIn Learning, O'Reilly, and Coursera Enterprise</w:t>
      </w:r>
    </w:p>
    <w:p>
      <w:pPr>
        <w:pStyle w:val="ListParagraph"/>
        <w:numPr>
          <w:ilvl w:val="0"/>
          <w:numId w:val="2"/>
        </w:numPr>
        <w:spacing w:after="60" w:before="60"/>
      </w:pPr>
      <w:r>
        <w:rPr>
          <w:rFonts w:ascii="Arial" w:cs="Arial" w:eastAsia="Arial" w:hAnsi="Arial"/>
          <w:sz w:val="22"/>
          <w:szCs w:val="22"/>
        </w:rPr>
        <w:t xml:space="preserve">Commuter Benefits: Pre-tax transit and parking up to IRS limits ($315/month in 2024)</w:t>
      </w:r>
    </w:p>
    <w:p>
      <w:pPr>
        <w:pStyle w:val="ListParagraph"/>
        <w:numPr>
          <w:ilvl w:val="0"/>
          <w:numId w:val="2"/>
        </w:numPr>
        <w:spacing w:after="60" w:before="60"/>
      </w:pPr>
      <w:r>
        <w:rPr>
          <w:rFonts w:ascii="Arial" w:cs="Arial" w:eastAsia="Arial" w:hAnsi="Arial"/>
          <w:sz w:val="22"/>
          <w:szCs w:val="22"/>
        </w:rPr>
        <w:t xml:space="preserve">Home Office Stipend (Tier 3 Remote): $1,500 one-time setup + $100/month recurring</w:t>
      </w:r>
    </w:p>
    <w:p>
      <w:pPr>
        <w:spacing w:after="12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D8B" w:sz="4" w:space="1"/>
      </w:pBdr>
      <w:jc w:val="center"/>
    </w:pPr>
    <w:r>
      <w:rPr>
        <w:color w:val="666666"/>
        <w:sz w:val="18"/>
        <w:szCs w:val="18"/>
      </w:rPr>
      <w:t xml:space="preserve">HR Policy Manual v4.2 | Effective: January 1, 2024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B" w:sz="4" w:space="1"/>
      </w:pBdr>
      <w:jc w:val="right"/>
    </w:pPr>
    <w:r>
      <w:rPr>
        <w:rFonts w:ascii="Arial" w:cs="Arial" w:eastAsia="Arial" w:hAnsi="Arial"/>
        <w:color w:val="666666"/>
        <w:sz w:val="18"/>
        <w:szCs w:val="18"/>
      </w:rPr>
      <w:t xml:space="preserve">NexaCorp Inc. | Human Resources Policy Manual v4.2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B2D8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9B59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2026-05-09T11:28:48.830Z</dcterms:created>
  <dcterms:modified xsi:type="dcterms:W3CDTF">2026-05-09T11:28:48.830Z</dcterms:modified>
</cp:coreProperties>
</file>

<file path=docProps/custom.xml><?xml version="1.0" encoding="utf-8"?>
<Properties xmlns="http://schemas.openxmlformats.org/officeDocument/2006/custom-properties" xmlns:vt="http://schemas.openxmlformats.org/officeDocument/2006/docPropsVTypes"/>
</file>