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389BC">
      <w:pPr>
        <w:pStyle w:val="2"/>
        <w:spacing w:line="276" w:lineRule="auto"/>
        <w:rPr>
          <w:rFonts w:hint="eastAsia"/>
          <w:color w:val="auto"/>
        </w:rPr>
      </w:pPr>
      <w:r>
        <w:rPr>
          <w:rFonts w:ascii="等线 Light" w:hAnsi="等线 Light" w:eastAsia="等线 Light" w:cs="等线 Light"/>
          <w:color w:val="auto"/>
        </w:rPr>
        <w:t>专利交底书</w:t>
      </w:r>
    </w:p>
    <w:p w14:paraId="7737F983">
      <w:pPr>
        <w:pStyle w:val="3"/>
        <w:spacing w:line="276" w:lineRule="auto"/>
        <w:rPr>
          <w:rFonts w:hint="eastAsia"/>
          <w:color w:val="auto"/>
        </w:rPr>
      </w:pPr>
      <w:r>
        <w:rPr>
          <w:rFonts w:ascii="等线 Light" w:hAnsi="等线 Light" w:eastAsia="等线 Light" w:cs="等线 Light"/>
          <w:color w:val="auto"/>
        </w:rPr>
        <w:t>1. 专利申请合规检查</w:t>
      </w:r>
    </w:p>
    <w:p w14:paraId="396C1F7C">
      <w:pPr>
        <w:spacing w:line="276" w:lineRule="auto"/>
        <w:rPr>
          <w:rFonts w:hint="eastAsia"/>
        </w:rPr>
      </w:pPr>
      <w:r>
        <w:rPr>
          <w:rFonts w:ascii="等线" w:hAnsi="等线" w:eastAsia="等线" w:cs="等线"/>
        </w:rPr>
        <w:t>无需填写</w:t>
      </w:r>
    </w:p>
    <w:p w14:paraId="0400AC7F">
      <w:pPr>
        <w:pStyle w:val="3"/>
        <w:spacing w:line="276" w:lineRule="auto"/>
        <w:rPr>
          <w:rFonts w:hint="eastAsia"/>
          <w:color w:val="auto"/>
        </w:rPr>
      </w:pPr>
      <w:r>
        <w:rPr>
          <w:rFonts w:ascii="等线 Light" w:hAnsi="等线 Light" w:eastAsia="等线 Light" w:cs="等线 Light"/>
          <w:color w:val="auto"/>
        </w:rPr>
        <w:t>2. 缩略语和关键术语</w:t>
      </w:r>
    </w:p>
    <w:p w14:paraId="28E62C73">
      <w:pPr>
        <w:pStyle w:val="4"/>
        <w:spacing w:line="276" w:lineRule="auto"/>
        <w:rPr>
          <w:rFonts w:hint="eastAsia"/>
          <w:color w:val="auto"/>
        </w:rPr>
      </w:pPr>
      <w:r>
        <w:rPr>
          <w:rFonts w:ascii="等线 Light" w:hAnsi="等线 Light" w:eastAsia="等线 Light" w:cs="等线 Light"/>
          <w:color w:val="auto"/>
        </w:rPr>
        <w:t>2.1 缩略语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432A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214406FB">
            <w:pPr>
              <w:rPr>
                <w:rFonts w:hint="eastAsia"/>
              </w:rPr>
            </w:pPr>
            <w:r>
              <w:rPr>
                <w:rFonts w:ascii="等线" w:hAnsi="等线" w:eastAsia="等线" w:cs="等线"/>
              </w:rPr>
              <w:t>缩略语</w:t>
            </w:r>
          </w:p>
        </w:tc>
        <w:tc>
          <w:tcPr>
            <w:tcW w:w="2769" w:type="dxa"/>
          </w:tcPr>
          <w:p w14:paraId="49CC7E6F">
            <w:pPr>
              <w:rPr>
                <w:rFonts w:hint="eastAsia"/>
              </w:rPr>
            </w:pPr>
            <w:r>
              <w:rPr>
                <w:rFonts w:ascii="等线" w:hAnsi="等线" w:eastAsia="等线" w:cs="等线"/>
              </w:rPr>
              <w:t>英文全称</w:t>
            </w:r>
          </w:p>
        </w:tc>
        <w:tc>
          <w:tcPr>
            <w:tcW w:w="2769" w:type="dxa"/>
          </w:tcPr>
          <w:p w14:paraId="451B4B74">
            <w:pPr>
              <w:rPr>
                <w:rFonts w:hint="eastAsia"/>
              </w:rPr>
            </w:pPr>
            <w:r>
              <w:rPr>
                <w:rFonts w:ascii="等线" w:hAnsi="等线" w:eastAsia="等线" w:cs="等线"/>
              </w:rPr>
              <w:t>中文译文</w:t>
            </w:r>
          </w:p>
        </w:tc>
      </w:tr>
      <w:tr w14:paraId="1043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185CC4B">
            <w:pPr>
              <w:rPr>
                <w:rFonts w:hint="eastAsia"/>
              </w:rPr>
            </w:pPr>
            <w:r>
              <w:rPr>
                <w:rFonts w:ascii="等线" w:hAnsi="等线" w:eastAsia="等线" w:cs="等线"/>
              </w:rPr>
              <w:t>ANNS</w:t>
            </w:r>
          </w:p>
        </w:tc>
        <w:tc>
          <w:tcPr>
            <w:tcW w:w="2769" w:type="dxa"/>
          </w:tcPr>
          <w:p w14:paraId="14FB2F91">
            <w:pPr>
              <w:rPr>
                <w:rFonts w:hint="eastAsia"/>
              </w:rPr>
            </w:pPr>
            <w:r>
              <w:rPr>
                <w:rFonts w:ascii="等线" w:hAnsi="等线" w:eastAsia="等线" w:cs="等线"/>
              </w:rPr>
              <w:t>Approximate Nearest Neighbor Search</w:t>
            </w:r>
          </w:p>
        </w:tc>
        <w:tc>
          <w:tcPr>
            <w:tcW w:w="2769" w:type="dxa"/>
          </w:tcPr>
          <w:p w14:paraId="035C8ABF">
            <w:pPr>
              <w:rPr>
                <w:rFonts w:hint="eastAsia"/>
              </w:rPr>
            </w:pPr>
            <w:r>
              <w:rPr>
                <w:rFonts w:ascii="等线" w:hAnsi="等线" w:eastAsia="等线" w:cs="等线"/>
              </w:rPr>
              <w:t>近似最近邻搜索</w:t>
            </w:r>
          </w:p>
        </w:tc>
      </w:tr>
      <w:tr w14:paraId="4B7B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1DB181">
            <w:pPr>
              <w:rPr>
                <w:rFonts w:hint="eastAsia"/>
              </w:rPr>
            </w:pPr>
            <w:r>
              <w:rPr>
                <w:rFonts w:ascii="等线" w:hAnsi="等线" w:eastAsia="等线" w:cs="等线"/>
              </w:rPr>
              <w:t>IVF</w:t>
            </w:r>
          </w:p>
        </w:tc>
        <w:tc>
          <w:tcPr>
            <w:tcW w:w="2769" w:type="dxa"/>
          </w:tcPr>
          <w:p w14:paraId="192F5352">
            <w:pPr>
              <w:rPr>
                <w:rFonts w:hint="eastAsia"/>
              </w:rPr>
            </w:pPr>
            <w:r>
              <w:rPr>
                <w:rFonts w:ascii="等线" w:hAnsi="等线" w:eastAsia="等线" w:cs="等线"/>
              </w:rPr>
              <w:t>Inverted File</w:t>
            </w:r>
          </w:p>
        </w:tc>
        <w:tc>
          <w:tcPr>
            <w:tcW w:w="2769" w:type="dxa"/>
          </w:tcPr>
          <w:p w14:paraId="479C1FC5">
            <w:pPr>
              <w:rPr>
                <w:rFonts w:hint="eastAsia"/>
              </w:rPr>
            </w:pPr>
            <w:r>
              <w:rPr>
                <w:rFonts w:ascii="等线" w:hAnsi="等线" w:eastAsia="等线" w:cs="等线"/>
              </w:rPr>
              <w:t>倒排文件</w:t>
            </w:r>
          </w:p>
        </w:tc>
      </w:tr>
      <w:tr w14:paraId="45CBC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06E68D3">
            <w:pPr>
              <w:rPr>
                <w:rFonts w:hint="eastAsia"/>
              </w:rPr>
            </w:pPr>
            <w:r>
              <w:rPr>
                <w:rFonts w:ascii="等线" w:hAnsi="等线" w:eastAsia="等线" w:cs="等线"/>
              </w:rPr>
              <w:t>IVFQG</w:t>
            </w:r>
          </w:p>
        </w:tc>
        <w:tc>
          <w:tcPr>
            <w:tcW w:w="2769" w:type="dxa"/>
          </w:tcPr>
          <w:p w14:paraId="06B844C4">
            <w:pPr>
              <w:rPr>
                <w:rFonts w:hint="eastAsia"/>
              </w:rPr>
            </w:pPr>
            <w:r>
              <w:rPr>
                <w:rFonts w:ascii="等线" w:hAnsi="等线" w:eastAsia="等线" w:cs="等线"/>
              </w:rPr>
              <w:t>Inverted File with Quantization Graph</w:t>
            </w:r>
          </w:p>
        </w:tc>
        <w:tc>
          <w:tcPr>
            <w:tcW w:w="2769" w:type="dxa"/>
          </w:tcPr>
          <w:p w14:paraId="6632CC12">
            <w:pPr>
              <w:rPr>
                <w:rFonts w:hint="eastAsia"/>
              </w:rPr>
            </w:pPr>
            <w:r>
              <w:rPr>
                <w:rFonts w:ascii="等线" w:hAnsi="等线" w:eastAsia="等线" w:cs="等线"/>
              </w:rPr>
              <w:t>基于倒排文件的量化图</w:t>
            </w:r>
          </w:p>
        </w:tc>
      </w:tr>
      <w:tr w14:paraId="594C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3600C99F">
            <w:pPr>
              <w:rPr>
                <w:rFonts w:hint="eastAsia"/>
              </w:rPr>
            </w:pPr>
            <w:r>
              <w:rPr>
                <w:rFonts w:ascii="等线" w:hAnsi="等线" w:eastAsia="等线" w:cs="等线"/>
              </w:rPr>
              <w:t>KNN</w:t>
            </w:r>
          </w:p>
        </w:tc>
        <w:tc>
          <w:tcPr>
            <w:tcW w:w="2769" w:type="dxa"/>
          </w:tcPr>
          <w:p w14:paraId="57439B99">
            <w:pPr>
              <w:rPr>
                <w:rFonts w:hint="eastAsia"/>
              </w:rPr>
            </w:pPr>
            <w:r>
              <w:rPr>
                <w:rFonts w:ascii="等线" w:hAnsi="等线" w:eastAsia="等线" w:cs="等线"/>
              </w:rPr>
              <w:t>K-Nearest Neighbor</w:t>
            </w:r>
          </w:p>
        </w:tc>
        <w:tc>
          <w:tcPr>
            <w:tcW w:w="2769" w:type="dxa"/>
          </w:tcPr>
          <w:p w14:paraId="57B51752">
            <w:pPr>
              <w:rPr>
                <w:rFonts w:hint="eastAsia"/>
              </w:rPr>
            </w:pPr>
            <w:r>
              <w:rPr>
                <w:rFonts w:ascii="等线" w:hAnsi="等线" w:eastAsia="等线" w:cs="等线"/>
              </w:rPr>
              <w:t>K近邻</w:t>
            </w:r>
          </w:p>
        </w:tc>
      </w:tr>
      <w:tr w14:paraId="1AAC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671DA5B">
            <w:pPr>
              <w:rPr>
                <w:rFonts w:hint="eastAsia"/>
              </w:rPr>
            </w:pPr>
            <w:r>
              <w:rPr>
                <w:rFonts w:ascii="等线" w:hAnsi="等线" w:eastAsia="等线" w:cs="等线"/>
              </w:rPr>
              <w:t>QPS</w:t>
            </w:r>
          </w:p>
        </w:tc>
        <w:tc>
          <w:tcPr>
            <w:tcW w:w="2769" w:type="dxa"/>
          </w:tcPr>
          <w:p w14:paraId="38D2CE25">
            <w:pPr>
              <w:rPr>
                <w:rFonts w:hint="eastAsia"/>
              </w:rPr>
            </w:pPr>
            <w:r>
              <w:rPr>
                <w:rFonts w:ascii="等线" w:hAnsi="等线" w:eastAsia="等线" w:cs="等线"/>
              </w:rPr>
              <w:t>Queries Per Second</w:t>
            </w:r>
          </w:p>
        </w:tc>
        <w:tc>
          <w:tcPr>
            <w:tcW w:w="2769" w:type="dxa"/>
          </w:tcPr>
          <w:p w14:paraId="0A3B294D">
            <w:pPr>
              <w:rPr>
                <w:rFonts w:hint="eastAsia"/>
              </w:rPr>
            </w:pPr>
            <w:r>
              <w:rPr>
                <w:rFonts w:ascii="等线" w:hAnsi="等线" w:eastAsia="等线" w:cs="等线"/>
              </w:rPr>
              <w:t>每秒查询数</w:t>
            </w:r>
          </w:p>
        </w:tc>
      </w:tr>
      <w:tr w14:paraId="08CBF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9CEFAA5">
            <w:pPr>
              <w:rPr>
                <w:rFonts w:hint="eastAsia"/>
              </w:rPr>
            </w:pPr>
            <w:r>
              <w:rPr>
                <w:rFonts w:ascii="等线" w:hAnsi="等线" w:eastAsia="等线" w:cs="等线"/>
              </w:rPr>
              <w:t>SIMD</w:t>
            </w:r>
          </w:p>
        </w:tc>
        <w:tc>
          <w:tcPr>
            <w:tcW w:w="2769" w:type="dxa"/>
          </w:tcPr>
          <w:p w14:paraId="74727357">
            <w:pPr>
              <w:rPr>
                <w:rFonts w:hint="eastAsia"/>
              </w:rPr>
            </w:pPr>
            <w:r>
              <w:rPr>
                <w:rFonts w:ascii="等线" w:hAnsi="等线" w:eastAsia="等线" w:cs="等线"/>
              </w:rPr>
              <w:t>Single Instruction Multiple Data</w:t>
            </w:r>
          </w:p>
        </w:tc>
        <w:tc>
          <w:tcPr>
            <w:tcW w:w="2769" w:type="dxa"/>
          </w:tcPr>
          <w:p w14:paraId="65BFC3EB">
            <w:pPr>
              <w:rPr>
                <w:rFonts w:hint="eastAsia"/>
              </w:rPr>
            </w:pPr>
            <w:r>
              <w:rPr>
                <w:rFonts w:ascii="等线" w:hAnsi="等线" w:eastAsia="等线" w:cs="等线"/>
              </w:rPr>
              <w:t>单指令多数据流</w:t>
            </w:r>
          </w:p>
        </w:tc>
      </w:tr>
      <w:tr w14:paraId="4AE6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4BD0D15">
            <w:pPr>
              <w:rPr>
                <w:rFonts w:hint="eastAsia"/>
              </w:rPr>
            </w:pPr>
            <w:r>
              <w:rPr>
                <w:rFonts w:ascii="等线" w:hAnsi="等线" w:eastAsia="等线" w:cs="等线"/>
              </w:rPr>
              <w:t>RAG</w:t>
            </w:r>
          </w:p>
        </w:tc>
        <w:tc>
          <w:tcPr>
            <w:tcW w:w="2769" w:type="dxa"/>
          </w:tcPr>
          <w:p w14:paraId="33AB8EA9">
            <w:pPr>
              <w:rPr>
                <w:rFonts w:hint="eastAsia"/>
              </w:rPr>
            </w:pPr>
            <w:r>
              <w:rPr>
                <w:rFonts w:ascii="等线" w:hAnsi="等线" w:eastAsia="等线" w:cs="等线"/>
              </w:rPr>
              <w:t>Retrieval-Augmented Generation</w:t>
            </w:r>
          </w:p>
        </w:tc>
        <w:tc>
          <w:tcPr>
            <w:tcW w:w="2769" w:type="dxa"/>
          </w:tcPr>
          <w:p w14:paraId="578CAD6E">
            <w:pPr>
              <w:rPr>
                <w:rFonts w:hint="eastAsia"/>
              </w:rPr>
            </w:pPr>
            <w:r>
              <w:rPr>
                <w:rFonts w:ascii="等线" w:hAnsi="等线" w:eastAsia="等线" w:cs="等线"/>
              </w:rPr>
              <w:t>检索增强生成</w:t>
            </w:r>
          </w:p>
        </w:tc>
      </w:tr>
      <w:tr w14:paraId="6C99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B36C4CC">
            <w:pPr>
              <w:rPr>
                <w:rFonts w:hint="eastAsia"/>
              </w:rPr>
            </w:pPr>
            <w:r>
              <w:rPr>
                <w:rFonts w:ascii="等线" w:hAnsi="等线" w:eastAsia="等线" w:cs="等线"/>
              </w:rPr>
              <w:t>LLMs</w:t>
            </w:r>
          </w:p>
        </w:tc>
        <w:tc>
          <w:tcPr>
            <w:tcW w:w="2769" w:type="dxa"/>
          </w:tcPr>
          <w:p w14:paraId="7F28C0C3">
            <w:pPr>
              <w:rPr>
                <w:rFonts w:hint="eastAsia"/>
              </w:rPr>
            </w:pPr>
            <w:r>
              <w:rPr>
                <w:rFonts w:ascii="等线" w:hAnsi="等线" w:eastAsia="等线" w:cs="等线"/>
              </w:rPr>
              <w:t>Large Language Models</w:t>
            </w:r>
          </w:p>
        </w:tc>
        <w:tc>
          <w:tcPr>
            <w:tcW w:w="2769" w:type="dxa"/>
          </w:tcPr>
          <w:p w14:paraId="59780661">
            <w:pPr>
              <w:rPr>
                <w:rFonts w:hint="eastAsia"/>
              </w:rPr>
            </w:pPr>
            <w:r>
              <w:rPr>
                <w:rFonts w:ascii="等线" w:hAnsi="等线" w:eastAsia="等线" w:cs="等线"/>
              </w:rPr>
              <w:t>大语言模型</w:t>
            </w:r>
          </w:p>
        </w:tc>
      </w:tr>
      <w:tr w14:paraId="3A86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B11B5EB">
            <w:pPr>
              <w:rPr>
                <w:rFonts w:hint="eastAsia"/>
              </w:rPr>
            </w:pPr>
            <w:r>
              <w:rPr>
                <w:rFonts w:ascii="等线" w:hAnsi="等线" w:eastAsia="等线" w:cs="等线"/>
              </w:rPr>
              <w:t>NNDescent</w:t>
            </w:r>
          </w:p>
        </w:tc>
        <w:tc>
          <w:tcPr>
            <w:tcW w:w="2769" w:type="dxa"/>
          </w:tcPr>
          <w:p w14:paraId="517CDECC">
            <w:pPr>
              <w:rPr>
                <w:rFonts w:hint="eastAsia"/>
              </w:rPr>
            </w:pPr>
            <w:r>
              <w:rPr>
                <w:rFonts w:ascii="等线" w:hAnsi="等线" w:eastAsia="等线" w:cs="等线"/>
              </w:rPr>
              <w:t>Nearest Neighbor Descent</w:t>
            </w:r>
          </w:p>
        </w:tc>
        <w:tc>
          <w:tcPr>
            <w:tcW w:w="2769" w:type="dxa"/>
          </w:tcPr>
          <w:p w14:paraId="3E7C1D90">
            <w:pPr>
              <w:rPr>
                <w:rFonts w:hint="eastAsia"/>
              </w:rPr>
            </w:pPr>
            <w:r>
              <w:rPr>
                <w:rFonts w:ascii="等线" w:hAnsi="等线" w:eastAsia="等线" w:cs="等线"/>
              </w:rPr>
              <w:t>近邻下降图构建算法</w:t>
            </w:r>
          </w:p>
        </w:tc>
      </w:tr>
      <w:tr w14:paraId="0F7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666E28B8">
            <w:pPr>
              <w:rPr>
                <w:rFonts w:hint="eastAsia"/>
              </w:rPr>
            </w:pPr>
            <w:r>
              <w:rPr>
                <w:rFonts w:ascii="等线" w:hAnsi="等线" w:eastAsia="等线" w:cs="等线"/>
              </w:rPr>
              <w:t>RaBitQ</w:t>
            </w:r>
          </w:p>
        </w:tc>
        <w:tc>
          <w:tcPr>
            <w:tcW w:w="2769" w:type="dxa"/>
          </w:tcPr>
          <w:p w14:paraId="2B1CFCC7">
            <w:pPr>
              <w:rPr>
                <w:rFonts w:hint="eastAsia"/>
              </w:rPr>
            </w:pPr>
            <w:r>
              <w:rPr>
                <w:rFonts w:ascii="等线" w:hAnsi="等线" w:eastAsia="等线" w:cs="等线"/>
              </w:rPr>
              <w:t>Randomized Binary Quantization</w:t>
            </w:r>
          </w:p>
        </w:tc>
        <w:tc>
          <w:tcPr>
            <w:tcW w:w="2769" w:type="dxa"/>
          </w:tcPr>
          <w:p w14:paraId="121A2148">
            <w:pPr>
              <w:rPr>
                <w:rFonts w:hint="eastAsia"/>
              </w:rPr>
            </w:pPr>
            <w:r>
              <w:rPr>
                <w:rFonts w:ascii="等线" w:hAnsi="等线" w:eastAsia="等线" w:cs="等线"/>
              </w:rPr>
              <w:t>随机二进制量化</w:t>
            </w:r>
          </w:p>
        </w:tc>
      </w:tr>
    </w:tbl>
    <w:p w14:paraId="115590EC">
      <w:pPr>
        <w:pStyle w:val="4"/>
        <w:spacing w:line="276" w:lineRule="auto"/>
        <w:rPr>
          <w:rFonts w:hint="eastAsia"/>
          <w:color w:val="auto"/>
        </w:rPr>
      </w:pPr>
      <w:r>
        <w:rPr>
          <w:rFonts w:ascii="等线 Light" w:hAnsi="等线 Light" w:eastAsia="等线 Light" w:cs="等线 Light"/>
          <w:color w:val="auto"/>
        </w:rPr>
        <w:t>2.2 关键术语</w:t>
      </w:r>
    </w:p>
    <w:p w14:paraId="1AA5566C">
      <w:pPr>
        <w:spacing w:line="276" w:lineRule="auto"/>
        <w:rPr>
          <w:rFonts w:hint="eastAsia"/>
        </w:rPr>
      </w:pPr>
      <w:r>
        <w:rPr>
          <w:rFonts w:ascii="等线" w:hAnsi="等线" w:eastAsia="等线" w:cs="等线"/>
        </w:rPr>
        <w:t>高维稠密向量（Embeddings）：通过深度学习模型将非结构化数据（文本、图像、音频等）映射为高维实数向量，用于表征数据的语义特征。</w:t>
      </w:r>
    </w:p>
    <w:p w14:paraId="53F138E9">
      <w:pPr>
        <w:spacing w:line="276" w:lineRule="auto"/>
        <w:rPr>
          <w:rFonts w:hint="eastAsia"/>
        </w:rPr>
      </w:pPr>
      <w:r>
        <w:rPr>
          <w:rFonts w:ascii="等线" w:hAnsi="等线" w:eastAsia="等线" w:cs="等线"/>
        </w:rPr>
        <w:t>近似最近邻搜索（ANNS）：在高维向量空间中，通过牺牲极少量精度换取查询速度数量级提升的检索技术，核心在于构建高效的索引结构以避免全量遍历。</w:t>
      </w:r>
    </w:p>
    <w:p w14:paraId="68212E04">
      <w:pPr>
        <w:spacing w:line="276" w:lineRule="auto"/>
        <w:rPr>
          <w:rFonts w:hint="eastAsia"/>
        </w:rPr>
      </w:pPr>
      <w:r>
        <w:rPr>
          <w:rFonts w:ascii="等线" w:hAnsi="等线" w:eastAsia="等线" w:cs="等线"/>
        </w:rPr>
        <w:t>静态质心图（Centroid Graph）：从数据集中采样固定比例（如1%）的数据点作为永久质心，并在这些质心上构建的导航图结构，用于替代传统K-Means的动态质心计算。</w:t>
      </w:r>
    </w:p>
    <w:p w14:paraId="5BEF3475">
      <w:pPr>
        <w:spacing w:line="276" w:lineRule="auto"/>
        <w:rPr>
          <w:rFonts w:hint="eastAsia"/>
        </w:rPr>
      </w:pPr>
      <w:r>
        <w:rPr>
          <w:rFonts w:ascii="等线" w:hAnsi="等线" w:eastAsia="等线" w:cs="等线"/>
        </w:rPr>
        <w:t>级联驱逐（Cascading Eviction）：在负载均衡分配过程中，当新数据点比类簇中现有最远点更优时，将最远点踢出并重新路由到其候选列表中的下一个类簇，形成链式调整机制。</w:t>
      </w:r>
    </w:p>
    <w:p w14:paraId="02BC40A7">
      <w:pPr>
        <w:spacing w:line="276" w:lineRule="auto"/>
        <w:rPr>
          <w:rFonts w:hint="eastAsia"/>
        </w:rPr>
      </w:pPr>
      <w:r>
        <w:rPr>
          <w:rFonts w:ascii="等线" w:hAnsi="等线" w:eastAsia="等线" w:cs="等线"/>
        </w:rPr>
        <w:t>倒排路由表（Inverted Table）：记录每个数据点被分配到的所有类簇索引的映射结构，用于在查询阶段从已访问的数据点反向发现新的待扫描类簇。</w:t>
      </w:r>
    </w:p>
    <w:p w14:paraId="0B08F979">
      <w:pPr>
        <w:pStyle w:val="3"/>
        <w:spacing w:line="276" w:lineRule="auto"/>
        <w:rPr>
          <w:rFonts w:hint="eastAsia"/>
          <w:color w:val="auto"/>
        </w:rPr>
      </w:pPr>
      <w:r>
        <w:rPr>
          <w:rFonts w:ascii="等线 Light" w:hAnsi="等线 Light" w:eastAsia="等线 Light" w:cs="等线 Light"/>
          <w:color w:val="auto"/>
        </w:rPr>
        <w:t>3. 相关技术背景以及最接近的现有技术</w:t>
      </w:r>
    </w:p>
    <w:p w14:paraId="72575047">
      <w:pPr>
        <w:pStyle w:val="4"/>
        <w:spacing w:line="276" w:lineRule="auto"/>
        <w:rPr>
          <w:rFonts w:hint="eastAsia"/>
          <w:color w:val="auto"/>
        </w:rPr>
      </w:pPr>
      <w:r>
        <w:rPr>
          <w:rFonts w:ascii="等线 Light" w:hAnsi="等线 Light" w:eastAsia="等线 Light" w:cs="等线 Light"/>
          <w:color w:val="auto"/>
        </w:rPr>
        <w:t>3.1 背景技术</w:t>
      </w:r>
    </w:p>
    <w:p w14:paraId="1AAFA2E8">
      <w:pPr>
        <w:spacing w:line="276" w:lineRule="auto"/>
        <w:rPr>
          <w:rFonts w:hint="eastAsia"/>
        </w:rPr>
      </w:pPr>
      <w:r>
        <w:rPr>
          <w:rFonts w:ascii="等线" w:hAnsi="等线" w:eastAsia="等线" w:cs="等线"/>
        </w:rPr>
        <w:t>近年来，随着深度学习、大语言模型（LLMs）以及多模态技术的蓬勃发展，将非结构化数据（如文本、图像、音频）表征为高维稠密向量（Embeddings）已成为实现语义理解和信息检索的工业标准。在检索增强生成（RAG）、个性化推荐系统以及多媒体内容搜索引擎等典型应用中，核心的计算瓶颈往往集中于高维向量空间中的相似度检索。</w:t>
      </w:r>
    </w:p>
    <w:p w14:paraId="5F0950DB">
      <w:pPr>
        <w:spacing w:line="276" w:lineRule="auto"/>
        <w:rPr>
          <w:rFonts w:hint="eastAsia"/>
        </w:rPr>
      </w:pPr>
      <w:r>
        <w:rPr>
          <w:rFonts w:ascii="等线" w:hAnsi="等线" w:eastAsia="等线" w:cs="等线"/>
        </w:rPr>
        <w:t>由于精确的最近邻搜索（Exact NNS）需要遍历整个数据集，其时间复杂度随着数据规模的增长呈线性爆发，无法满足海量数据下的实时延迟要求。因此，近似最近邻搜索（ANNS）成为了解决该问题的关键技术。ANNS的核心思想是通过牺牲极少量的检索精度（Recall），换取查询速度（QPS）的数个数量级提升。目前，工业界主流的ANNS算法主要分为两派：基于倒排文件索引（Inverted File, IVF）的量化方法和基于导航图（Navigable Graph）的方法。</w:t>
      </w:r>
    </w:p>
    <w:p w14:paraId="036FD2B4">
      <w:pPr>
        <w:pStyle w:val="4"/>
        <w:spacing w:line="276" w:lineRule="auto"/>
        <w:rPr>
          <w:rFonts w:hint="eastAsia"/>
          <w:color w:val="auto"/>
        </w:rPr>
      </w:pPr>
      <w:r>
        <w:rPr>
          <w:rFonts w:ascii="等线 Light" w:hAnsi="等线 Light" w:eastAsia="等线 Light" w:cs="等线 Light"/>
          <w:color w:val="auto"/>
        </w:rPr>
        <w:t>3.2 与本发明相关的现有技术</w:t>
      </w:r>
    </w:p>
    <w:p w14:paraId="73F30181">
      <w:pPr>
        <w:pStyle w:val="5"/>
        <w:spacing w:line="276" w:lineRule="auto"/>
        <w:rPr>
          <w:rFonts w:hint="eastAsia"/>
          <w:color w:val="auto"/>
        </w:rPr>
      </w:pPr>
      <w:r>
        <w:rPr>
          <w:rFonts w:ascii="等线 Light" w:hAnsi="等线 Light" w:eastAsia="等线 Light" w:cs="等线 Light"/>
          <w:color w:val="auto"/>
        </w:rPr>
        <w:t>3.2.1 现有技术的技术方案</w:t>
      </w:r>
    </w:p>
    <w:p w14:paraId="4C8DA1F5">
      <w:pPr>
        <w:spacing w:line="276" w:lineRule="auto"/>
        <w:rPr>
          <w:rFonts w:hint="eastAsia"/>
        </w:rPr>
      </w:pPr>
      <w:r>
        <w:rPr>
          <w:rFonts w:ascii="等线" w:hAnsi="等线" w:eastAsia="等线" w:cs="等线"/>
        </w:rPr>
        <w:t>现有技术一：基于倒排文件索引的量化方法（以IVF-PQ为代表）</w:t>
      </w:r>
    </w:p>
    <w:p w14:paraId="708B03A6">
      <w:pPr>
        <w:spacing w:line="276" w:lineRule="auto"/>
        <w:rPr>
          <w:rFonts w:hint="eastAsia"/>
        </w:rPr>
      </w:pPr>
      <w:r>
        <w:rPr>
          <w:rFonts w:ascii="等线" w:hAnsi="等线" w:eastAsia="等线" w:cs="等线"/>
        </w:rPr>
        <w:t>IVF-PQ是目前工业界广泛采用的ANNS方案之一。其构建阶段首先通过K-Means聚类算法将数据集划分为若干类簇，每个类簇有一个几何中心（质心）。每个数据点被分配到距离其最近的质心所在的类簇中。查询阶段，先计算查询向量与各质心的距离，选取距离最近的nprobe个类簇（称为探针），然后仅在这些被选中的类簇内部进行精确或近似距离计算，返回Top-k结果。</w:t>
      </w:r>
    </w:p>
    <w:p w14:paraId="2017FABB">
      <w:pPr>
        <w:spacing w:line="276" w:lineRule="auto"/>
        <w:rPr>
          <w:rFonts w:hint="eastAsia"/>
        </w:rPr>
      </w:pPr>
      <w:r>
        <w:rPr>
          <w:rFonts w:ascii="等线" w:hAnsi="等线" w:eastAsia="等线" w:cs="等线"/>
        </w:rPr>
        <w:t>为了进一步压缩存储和加速距离计算，类簇内的数据通常采用乘积量化（Product Quantization, PQ）进行编码，通过预计算的查找表（LUT）实现快速的近似距离估算。</w:t>
      </w:r>
    </w:p>
    <w:p w14:paraId="52FAA27D">
      <w:pPr>
        <w:spacing w:line="276" w:lineRule="auto"/>
        <w:rPr>
          <w:rFonts w:hint="eastAsia"/>
        </w:rPr>
      </w:pPr>
      <w:r>
        <w:rPr>
          <w:rFonts w:ascii="等线" w:hAnsi="等线" w:eastAsia="等线" w:cs="等线"/>
        </w:rPr>
        <w:t>现有技术二：基于导航图的方法（以HNSW为代表）</w:t>
      </w:r>
    </w:p>
    <w:p w14:paraId="743864FB">
      <w:pPr>
        <w:spacing w:line="276" w:lineRule="auto"/>
        <w:rPr>
          <w:rFonts w:hint="eastAsia"/>
        </w:rPr>
      </w:pPr>
      <w:r>
        <w:rPr>
          <w:rFonts w:ascii="等线" w:hAnsi="等线" w:eastAsia="等线" w:cs="等线"/>
        </w:rPr>
        <w:t>HNSW（Hierarchical Navigable Small World）通过构建多层小世界图结构实现近似最近邻搜索。在构建阶段，算法为每个节点在全局空间中寻找并连接合适的邻居节点，形成具有导航性质的图拓扑。查询时，从图的入口层开始，通过贪心策略逐层向下搜索，在最底层找到最近邻。图索引通常能提供当前最优的查询性能，但构建过程需要在全局空间中进行大量的邻居节点探测与连边裁减。</w:t>
      </w:r>
    </w:p>
    <w:p w14:paraId="3286EDA4">
      <w:pPr>
        <w:pStyle w:val="5"/>
        <w:spacing w:line="276" w:lineRule="auto"/>
        <w:rPr>
          <w:rFonts w:hint="eastAsia"/>
          <w:color w:val="auto"/>
        </w:rPr>
      </w:pPr>
      <w:r>
        <w:rPr>
          <w:rFonts w:ascii="等线 Light" w:hAnsi="等线 Light" w:eastAsia="等线 Light" w:cs="等线 Light"/>
          <w:color w:val="auto"/>
        </w:rPr>
        <w:t>3.2.2 现有技术的缺点</w:t>
      </w:r>
    </w:p>
    <w:p w14:paraId="7D577B2D">
      <w:pPr>
        <w:spacing w:line="276" w:lineRule="auto"/>
        <w:rPr>
          <w:rFonts w:hint="eastAsia"/>
        </w:rPr>
      </w:pPr>
      <w:r>
        <w:rPr>
          <w:rFonts w:ascii="等线" w:hAnsi="等线" w:eastAsia="等线" w:cs="等线"/>
        </w:rPr>
        <w:t>现有技术一的缺点：</w:t>
      </w:r>
    </w:p>
    <w:p w14:paraId="201D5BF2">
      <w:pPr>
        <w:pStyle w:val="28"/>
        <w:numPr>
          <w:ilvl w:val="0"/>
          <w:numId w:val="1"/>
        </w:numPr>
        <w:spacing w:line="276" w:lineRule="auto"/>
        <w:rPr>
          <w:rFonts w:hint="eastAsia"/>
        </w:rPr>
      </w:pPr>
      <w:r>
        <w:rPr>
          <w:rFonts w:ascii="等线" w:hAnsi="等线" w:eastAsia="等线" w:cs="等线"/>
        </w:rPr>
        <w:t>构建瓶颈严重：IVF索引的构建强烈依赖于K-Means聚类算法来寻找数据的中心（质心）。K-Means是一种迭代算法，其每一次迭代都需要计算全量数据与所有质心的距离，时间复杂度为O(I·N·Nc)（其中I为迭代次数，N为数据规模，Nc为类簇数量），导致索引构建通常需要耗费数小时。</w:t>
      </w:r>
    </w:p>
    <w:p w14:paraId="215D0A4A">
      <w:pPr>
        <w:pStyle w:val="28"/>
        <w:numPr>
          <w:ilvl w:val="0"/>
          <w:numId w:val="1"/>
        </w:numPr>
        <w:spacing w:line="276" w:lineRule="auto"/>
        <w:rPr>
          <w:rFonts w:hint="eastAsia"/>
        </w:rPr>
      </w:pPr>
      <w:r>
        <w:rPr>
          <w:rFonts w:ascii="等线" w:hAnsi="等线" w:eastAsia="等线" w:cs="等线"/>
        </w:rPr>
        <w:t>长尾效应破坏查询性能：真实世界的数据分布往往是极度不均匀的（Skewed）。传统的贪心分配策略会导致严重的"长尾效应"：少数热点类簇包含了海量数据，而多数冷门类簇数据稀少。这种分布极度破坏了底层硬件的内存访问局部性以及SIMD指令的执行效率，导致查询阶段出现严重的延时毛刺（Latency Spikes）。</w:t>
      </w:r>
    </w:p>
    <w:p w14:paraId="09607547">
      <w:pPr>
        <w:spacing w:line="276" w:lineRule="auto"/>
        <w:rPr>
          <w:rFonts w:hint="eastAsia"/>
        </w:rPr>
      </w:pPr>
      <w:r>
        <w:rPr>
          <w:rFonts w:ascii="等线" w:hAnsi="等线" w:eastAsia="等线" w:cs="等线"/>
        </w:rPr>
        <w:t>现有技术二的缺点：</w:t>
      </w:r>
    </w:p>
    <w:p w14:paraId="547FE7B4">
      <w:pPr>
        <w:pStyle w:val="28"/>
        <w:numPr>
          <w:ilvl w:val="0"/>
          <w:numId w:val="2"/>
        </w:numPr>
        <w:spacing w:line="276" w:lineRule="auto"/>
        <w:rPr>
          <w:rFonts w:hint="eastAsia"/>
        </w:rPr>
      </w:pPr>
      <w:r>
        <w:rPr>
          <w:rFonts w:ascii="等线" w:hAnsi="等线" w:eastAsia="等线" w:cs="等线"/>
        </w:rPr>
        <w:t>构建开销巨大：基于图的算法虽然能提供当前最优的查询性能，但其构建过程需要在全局空间中进行大量的邻居节点探测与连边裁减，构建耗时往往比IVF慢一到两个数量级，且内存开销巨大。</w:t>
      </w:r>
    </w:p>
    <w:p w14:paraId="49E8C619">
      <w:pPr>
        <w:pStyle w:val="28"/>
        <w:numPr>
          <w:ilvl w:val="0"/>
          <w:numId w:val="2"/>
        </w:numPr>
        <w:spacing w:line="276" w:lineRule="auto"/>
        <w:rPr>
          <w:rFonts w:hint="eastAsia"/>
        </w:rPr>
      </w:pPr>
      <w:r>
        <w:rPr>
          <w:rFonts w:ascii="等线" w:hAnsi="等线" w:eastAsia="等线" w:cs="等线"/>
        </w:rPr>
        <w:t>难以兼顾构建与查询：现有技术无法在严格保证召回率的前提下，同时实现索引构建速度和查询吞吐量的双重极致突破。在召回率约束下进行构建或查询的优化时，往往需要在两者之间进行取舍，无法同时达到最优。</w:t>
      </w:r>
    </w:p>
    <w:p w14:paraId="02048188">
      <w:pPr>
        <w:pStyle w:val="3"/>
        <w:spacing w:line="276" w:lineRule="auto"/>
        <w:rPr>
          <w:rFonts w:hint="eastAsia"/>
          <w:color w:val="auto"/>
        </w:rPr>
      </w:pPr>
      <w:r>
        <w:rPr>
          <w:rFonts w:ascii="等线 Light" w:hAnsi="等线 Light" w:eastAsia="等线 Light" w:cs="等线 Light"/>
          <w:color w:val="auto"/>
        </w:rPr>
        <w:t>4. 本发明技术方案的详细阐述</w:t>
      </w:r>
    </w:p>
    <w:p w14:paraId="01E9E6B9">
      <w:pPr>
        <w:pStyle w:val="4"/>
        <w:spacing w:line="276" w:lineRule="auto"/>
        <w:rPr>
          <w:rFonts w:hint="eastAsia"/>
          <w:color w:val="auto"/>
        </w:rPr>
      </w:pPr>
      <w:r>
        <w:rPr>
          <w:rFonts w:ascii="等线 Light" w:hAnsi="等线 Light" w:eastAsia="等线 Light" w:cs="等线 Light"/>
          <w:color w:val="auto"/>
        </w:rPr>
        <w:t>4.1 本发明所要解决的技术问题</w:t>
      </w:r>
    </w:p>
    <w:p w14:paraId="0544F00D">
      <w:pPr>
        <w:spacing w:line="276" w:lineRule="auto"/>
        <w:rPr>
          <w:rFonts w:hint="eastAsia"/>
        </w:rPr>
      </w:pPr>
      <w:r>
        <w:rPr>
          <w:rFonts w:ascii="等线" w:hAnsi="等线" w:eastAsia="等线" w:cs="等线"/>
        </w:rPr>
        <w:t>本发明旨在解决现有ANNS技术中存在的以下技术问题：</w:t>
      </w:r>
    </w:p>
    <w:p w14:paraId="40B9C69C">
      <w:pPr>
        <w:pStyle w:val="28"/>
        <w:numPr>
          <w:ilvl w:val="0"/>
          <w:numId w:val="3"/>
        </w:numPr>
        <w:spacing w:line="276" w:lineRule="auto"/>
        <w:rPr>
          <w:rFonts w:hint="eastAsia"/>
        </w:rPr>
      </w:pPr>
      <w:r>
        <w:rPr>
          <w:rFonts w:ascii="等线" w:hAnsi="等线" w:eastAsia="等线" w:cs="等线"/>
        </w:rPr>
        <w:t>离线索引构建时间过长：传统IVF索引依赖K-Means迭代聚类，构建时间随数据规模和类簇数量线性增长，无法满足亿级甚至十亿级数据集的快速索引构建需求。</w:t>
      </w:r>
    </w:p>
    <w:p w14:paraId="3205211C">
      <w:pPr>
        <w:pStyle w:val="28"/>
        <w:numPr>
          <w:ilvl w:val="0"/>
          <w:numId w:val="3"/>
        </w:numPr>
        <w:spacing w:line="276" w:lineRule="auto"/>
        <w:rPr>
          <w:rFonts w:hint="eastAsia"/>
        </w:rPr>
      </w:pPr>
      <w:r>
        <w:rPr>
          <w:rFonts w:ascii="等线" w:hAnsi="等线" w:eastAsia="等线" w:cs="等线"/>
        </w:rPr>
        <w:t>数据分布不均导致的查询性能抖动：真实数据的长尾分布使得各类簇规模差异巨大，导致SIMD寄存器填充率低、Cache命中率差、查询延迟不稳定。</w:t>
      </w:r>
    </w:p>
    <w:p w14:paraId="09D3F203">
      <w:pPr>
        <w:pStyle w:val="28"/>
        <w:numPr>
          <w:ilvl w:val="0"/>
          <w:numId w:val="3"/>
        </w:numPr>
        <w:spacing w:line="276" w:lineRule="auto"/>
        <w:rPr>
          <w:rFonts w:hint="eastAsia"/>
        </w:rPr>
      </w:pPr>
      <w:r>
        <w:rPr>
          <w:rFonts w:ascii="等线" w:hAnsi="等线" w:eastAsia="等线" w:cs="等线"/>
        </w:rPr>
        <w:t>图索引构建开销与内存占用过高：现有图索引方法构建速度远低于IVF方法，且内存消耗巨大，难以在大规模数据场景下高效部署。</w:t>
      </w:r>
    </w:p>
    <w:p w14:paraId="22F81178">
      <w:pPr>
        <w:pStyle w:val="28"/>
        <w:numPr>
          <w:ilvl w:val="0"/>
          <w:numId w:val="3"/>
        </w:numPr>
        <w:spacing w:line="276" w:lineRule="auto"/>
        <w:rPr>
          <w:rFonts w:hint="eastAsia"/>
        </w:rPr>
      </w:pPr>
      <w:r>
        <w:rPr>
          <w:rFonts w:ascii="等线" w:hAnsi="等线" w:eastAsia="等线" w:cs="等线"/>
        </w:rPr>
        <w:t>"构建速度-查询性能-检索精度"三者相互制约：现有技术无法在Recall&gt;0.85的硬性约束下同时优化构建速度和QPS，常规优化手段往往以牺牲精度为代价。</w:t>
      </w:r>
    </w:p>
    <w:p w14:paraId="21C2DACC">
      <w:pPr>
        <w:pStyle w:val="4"/>
        <w:spacing w:line="276" w:lineRule="auto"/>
        <w:rPr>
          <w:rFonts w:hint="eastAsia"/>
          <w:color w:val="auto"/>
        </w:rPr>
      </w:pPr>
      <w:r>
        <w:rPr>
          <w:rFonts w:ascii="等线 Light" w:hAnsi="等线 Light" w:eastAsia="等线 Light" w:cs="等线 Light"/>
          <w:color w:val="auto"/>
        </w:rPr>
        <w:t>4.2 本发明的主要要点概述</w:t>
      </w:r>
    </w:p>
    <w:p w14:paraId="4B509269">
      <w:pPr>
        <w:spacing w:line="276" w:lineRule="auto"/>
        <w:rPr>
          <w:rFonts w:hint="eastAsia"/>
        </w:rPr>
      </w:pPr>
      <w:r>
        <w:rPr>
          <w:rFonts w:ascii="等线" w:hAnsi="等线" w:eastAsia="等线" w:cs="等线"/>
        </w:rPr>
        <w:t>本发明提出了一种面向极端性能需求的高性能向量搜索架构——基于倒排文件的量化图（IVFQG）。该架构通过以下核心设计突破上述技术问题：</w:t>
      </w:r>
    </w:p>
    <w:p w14:paraId="6D0D98DD">
      <w:pPr>
        <w:pStyle w:val="28"/>
        <w:numPr>
          <w:ilvl w:val="0"/>
          <w:numId w:val="4"/>
        </w:numPr>
        <w:spacing w:line="276" w:lineRule="auto"/>
        <w:rPr>
          <w:rFonts w:hint="eastAsia"/>
        </w:rPr>
      </w:pPr>
      <w:r>
        <w:rPr>
          <w:rFonts w:ascii="等线" w:hAnsi="等线" w:eastAsia="等线" w:cs="等线"/>
        </w:rPr>
        <w:t>以静态质心图替代K-Means迭代聚类：从全量数据中抽取极小比例（如1%）的样本作为永久质心，构建快速导航图（质心图），将全量数据的质心归属问题从O(N·Nc)的暴力计算优化为O(N·log(Nc))的图搜索复杂度，彻底免除K-Means的质心重计算和迭代过程。</w:t>
      </w:r>
    </w:p>
    <w:p w14:paraId="3DAE4481">
      <w:pPr>
        <w:pStyle w:val="28"/>
        <w:numPr>
          <w:ilvl w:val="0"/>
          <w:numId w:val="4"/>
        </w:numPr>
        <w:spacing w:line="276" w:lineRule="auto"/>
        <w:rPr>
          <w:rFonts w:hint="eastAsia"/>
        </w:rPr>
      </w:pPr>
      <w:r>
        <w:rPr>
          <w:rFonts w:ascii="等线" w:hAnsi="等线" w:eastAsia="等线" w:cs="等线"/>
        </w:rPr>
        <w:t>并发负载均衡分配策略（BalancedAssign）：设计带级联驱逐的容量硬约束分配算法，在多线程环境下通过细粒度锁策略，确保所有类簇规模高度一致。同时通过受控的多副本冗余分配，使得查询阶段仅需扫描极少数类簇即可满足高召回率要求。</w:t>
      </w:r>
    </w:p>
    <w:p w14:paraId="6186EA32">
      <w:pPr>
        <w:pStyle w:val="28"/>
        <w:numPr>
          <w:ilvl w:val="0"/>
          <w:numId w:val="4"/>
        </w:numPr>
        <w:spacing w:line="276" w:lineRule="auto"/>
        <w:rPr>
          <w:rFonts w:hint="eastAsia"/>
        </w:rPr>
      </w:pPr>
      <w:r>
        <w:rPr>
          <w:rFonts w:ascii="等线" w:hAnsi="等线" w:eastAsia="等线" w:cs="等线"/>
        </w:rPr>
        <w:t>迭代扩展路由搜索机制：在线查询阶段设计结合倒排路由表的Beam Search机制，利用初始高质量候选点的路由信息动态扩展搜索边界，以最小计算代价捕获高密度目标区域。</w:t>
      </w:r>
    </w:p>
    <w:p w14:paraId="0FD35822">
      <w:pPr>
        <w:pStyle w:val="4"/>
        <w:spacing w:line="276" w:lineRule="auto"/>
        <w:rPr>
          <w:rFonts w:hint="eastAsia"/>
          <w:color w:val="auto"/>
        </w:rPr>
      </w:pPr>
      <w:r>
        <w:rPr>
          <w:rFonts w:ascii="等线 Light" w:hAnsi="等线 Light" w:eastAsia="等线 Light" w:cs="等线 Light"/>
          <w:color w:val="auto"/>
        </w:rPr>
        <w:t>4.3 本发明可应用的系统架构或场景</w:t>
      </w:r>
    </w:p>
    <w:p w14:paraId="39E8CD45">
      <w:pPr>
        <w:spacing w:line="276" w:lineRule="auto"/>
        <w:rPr>
          <w:rFonts w:hint="eastAsia"/>
        </w:rPr>
      </w:pPr>
      <w:r>
        <w:rPr>
          <w:rFonts w:ascii="等线" w:hAnsi="等线" w:eastAsia="等线" w:cs="等线"/>
        </w:rPr>
        <w:t>本发明可应用于以下系统架构和场景：</w:t>
      </w:r>
    </w:p>
    <w:p w14:paraId="33179D65">
      <w:pPr>
        <w:spacing w:line="276" w:lineRule="auto"/>
        <w:rPr>
          <w:rFonts w:hint="eastAsia"/>
        </w:rPr>
      </w:pPr>
      <w:r>
        <w:rPr>
          <w:rFonts w:ascii="等线" w:hAnsi="等线" w:eastAsia="等线" w:cs="等线"/>
        </w:rPr>
        <w:t>应用场景一：检索增强生成（RAG）系统</w:t>
      </w:r>
    </w:p>
    <w:p w14:paraId="2BFDF08D">
      <w:pPr>
        <w:spacing w:line="276" w:lineRule="auto"/>
        <w:rPr>
          <w:rFonts w:hint="eastAsia"/>
        </w:rPr>
      </w:pPr>
      <w:r>
        <w:rPr>
          <w:rFonts w:ascii="等线" w:hAnsi="等线" w:eastAsia="等线" w:cs="等线"/>
        </w:rPr>
        <w:t>在基于大语言模型的RAG系统中，需要将海量文档库向量化并构建索引，以支持实时的语义检索。本发明的IVFQG架构可作为RAG系统的向量检索引擎，提供极速的索引构建能力（支持频繁的数据更新）和高吞吐的在线查询能力（支持高并发用户请求）。</w:t>
      </w:r>
    </w:p>
    <w:p w14:paraId="7A245752">
      <w:pPr>
        <w:spacing w:line="276" w:lineRule="auto"/>
        <w:rPr>
          <w:rFonts w:ascii="等线" w:hAnsi="等线" w:eastAsia="等线" w:cs="等线"/>
        </w:rPr>
      </w:pPr>
      <w:r>
        <w:rPr>
          <w:rFonts w:ascii="等线" w:hAnsi="等线" w:eastAsia="等线" w:cs="等线"/>
        </w:rPr>
        <w:t>该场景涉及的设备/模块及其功能结构如下：</w:t>
      </w:r>
    </w:p>
    <w:p w14:paraId="31F4F8FD">
      <w:pPr>
        <w:pStyle w:val="28"/>
        <w:numPr>
          <w:ilvl w:val="0"/>
          <w:numId w:val="5"/>
        </w:numPr>
        <w:spacing w:line="276" w:lineRule="auto"/>
        <w:rPr>
          <w:rFonts w:ascii="等线" w:hAnsi="等线" w:eastAsia="等线" w:cs="等线"/>
        </w:rPr>
      </w:pPr>
      <w:r>
        <w:rPr>
          <w:rFonts w:ascii="等线" w:hAnsi="等线" w:eastAsia="等线" w:cs="等线"/>
        </w:rPr>
        <w:t>文档向量化模块：部署于服务器端，负责将输入的文本文档通过预训练语言模型转换为高维稠密向量；</w:t>
      </w:r>
    </w:p>
    <w:p w14:paraId="031D60FE">
      <w:pPr>
        <w:pStyle w:val="28"/>
        <w:numPr>
          <w:ilvl w:val="0"/>
          <w:numId w:val="5"/>
        </w:numPr>
        <w:spacing w:line="276" w:lineRule="auto"/>
        <w:rPr>
          <w:rFonts w:ascii="等线" w:hAnsi="等线" w:eastAsia="等线" w:cs="等线"/>
        </w:rPr>
      </w:pPr>
      <w:r>
        <w:rPr>
          <w:rFonts w:ascii="等线" w:hAnsi="等线" w:eastAsia="等线" w:cs="等线"/>
        </w:rPr>
        <w:t>IVFQG索引引擎：作为核心检索设备，负责执行离线索引构建（包括质心图构建、负载均衡分配和量化编码）和在线查询处理（包括探针生成、候选召回和迭代扩展）；</w:t>
      </w:r>
      <w:r>
        <w:rPr>
          <w:rFonts w:ascii="等线" w:hAnsi="等线" w:eastAsia="等线" w:cs="等线"/>
        </w:rPr>
        <w:br w:type="textWrapping"/>
      </w:r>
      <w:r>
        <w:rPr>
          <w:rFonts w:ascii="等线" w:hAnsi="等线" w:eastAsia="等线" w:cs="等线"/>
        </w:rPr>
        <w:t>查询接口模块：部署于应用服务器，接收用户查询请求，将查询文本转换为查询向量后转发至IVFQG索引引擎，并返回检索结果；</w:t>
      </w:r>
    </w:p>
    <w:p w14:paraId="4802284A">
      <w:pPr>
        <w:pStyle w:val="28"/>
        <w:numPr>
          <w:ilvl w:val="0"/>
          <w:numId w:val="5"/>
        </w:numPr>
        <w:spacing w:line="276" w:lineRule="auto"/>
        <w:rPr>
          <w:rFonts w:hint="eastAsia" w:ascii="等线" w:hAnsi="等线" w:eastAsia="等线" w:cs="等线"/>
        </w:rPr>
      </w:pPr>
      <w:r>
        <w:rPr>
          <w:rFonts w:ascii="等线" w:hAnsi="等线" w:eastAsia="等线" w:cs="等线"/>
        </w:rPr>
        <w:t>存储设备：用于持久化存储向量数据、索引结构和量化编码结果。</w:t>
      </w:r>
    </w:p>
    <w:p w14:paraId="15D07B46">
      <w:pPr>
        <w:spacing w:line="276" w:lineRule="auto"/>
        <w:rPr>
          <w:rFonts w:hint="eastAsia"/>
        </w:rPr>
      </w:pPr>
      <w:r>
        <w:rPr>
          <w:rFonts w:ascii="等线" w:hAnsi="等线" w:eastAsia="等线" w:cs="等线"/>
        </w:rPr>
        <w:t>各模块间的连接关系为：文档向量化模块将生成的向量输出至IVFQG索引引擎进行索引构建；查询接口模块接收外部查询请求并与IVFQG索引引擎交互；IVFQG索引引擎依赖存储设备存取索引数据。</w:t>
      </w:r>
    </w:p>
    <w:p w14:paraId="7A15DE7B">
      <w:pPr>
        <w:spacing w:line="276" w:lineRule="auto"/>
        <w:rPr>
          <w:rFonts w:hint="eastAsia"/>
        </w:rPr>
      </w:pPr>
      <w:r>
        <w:rPr>
          <w:rFonts w:ascii="等线" w:hAnsi="等线" w:eastAsia="等线" w:cs="等线"/>
        </w:rPr>
        <w:t>应用场景二：个性化推荐系统</w:t>
      </w:r>
    </w:p>
    <w:p w14:paraId="3404FB69">
      <w:pPr>
        <w:spacing w:line="276" w:lineRule="auto"/>
        <w:rPr>
          <w:rFonts w:hint="eastAsia"/>
        </w:rPr>
      </w:pPr>
      <w:r>
        <w:rPr>
          <w:rFonts w:ascii="等线" w:hAnsi="等线" w:eastAsia="等线" w:cs="等线"/>
        </w:rPr>
        <w:t>推荐系统需要将用户画像和物品特征表示为高维向量，并实时检索与用户兴趣最相似的物品。IVFQG架构可在保证推荐精度的同时，大幅提升候选物品召回的速度，支持大规模实时推荐。</w:t>
      </w:r>
    </w:p>
    <w:p w14:paraId="7DCAF5AC">
      <w:pPr>
        <w:spacing w:line="276" w:lineRule="auto"/>
        <w:rPr>
          <w:rFonts w:ascii="等线" w:hAnsi="等线" w:eastAsia="等线" w:cs="等线"/>
        </w:rPr>
      </w:pPr>
      <w:r>
        <w:rPr>
          <w:rFonts w:ascii="等线" w:hAnsi="等线" w:eastAsia="等线" w:cs="等线"/>
        </w:rPr>
        <w:t>该场景涉及的设备/模块及其功能结构如下：</w:t>
      </w:r>
    </w:p>
    <w:p w14:paraId="4A0A04BE">
      <w:pPr>
        <w:pStyle w:val="28"/>
        <w:numPr>
          <w:ilvl w:val="0"/>
          <w:numId w:val="6"/>
        </w:numPr>
        <w:spacing w:line="276" w:lineRule="auto"/>
        <w:rPr>
          <w:rFonts w:ascii="等线" w:hAnsi="等线" w:eastAsia="等线" w:cs="等线"/>
        </w:rPr>
      </w:pPr>
      <w:r>
        <w:rPr>
          <w:rFonts w:ascii="等线" w:hAnsi="等线" w:eastAsia="等线" w:cs="等线"/>
        </w:rPr>
        <w:t>用户画像生成模块：部署于推荐服务器，负责根据用户历史行为生成用户兴趣向量；</w:t>
      </w:r>
    </w:p>
    <w:p w14:paraId="7FD72F9B">
      <w:pPr>
        <w:pStyle w:val="28"/>
        <w:numPr>
          <w:ilvl w:val="0"/>
          <w:numId w:val="6"/>
        </w:numPr>
        <w:spacing w:line="276" w:lineRule="auto"/>
        <w:rPr>
          <w:rFonts w:ascii="等线" w:hAnsi="等线" w:eastAsia="等线" w:cs="等线"/>
        </w:rPr>
      </w:pPr>
      <w:r>
        <w:rPr>
          <w:rFonts w:ascii="等线" w:hAnsi="等线" w:eastAsia="等线" w:cs="等线"/>
        </w:rPr>
        <w:t>物品特征提取模块：负责将商品/内容信息转换为物品特征向量；</w:t>
      </w:r>
    </w:p>
    <w:p w14:paraId="33DCDEAA">
      <w:pPr>
        <w:pStyle w:val="28"/>
        <w:numPr>
          <w:ilvl w:val="0"/>
          <w:numId w:val="6"/>
        </w:numPr>
        <w:spacing w:line="276" w:lineRule="auto"/>
        <w:rPr>
          <w:rFonts w:ascii="等线" w:hAnsi="等线" w:eastAsia="等线" w:cs="等线"/>
        </w:rPr>
      </w:pPr>
      <w:r>
        <w:rPr>
          <w:rFonts w:ascii="等线" w:hAnsi="等线" w:eastAsia="等线" w:cs="等线"/>
        </w:rPr>
        <w:t>IVFQG索引引擎：负责构建物品向量索引并执行相似性检索，快速召回与用户向量最相似的候选物品集；</w:t>
      </w:r>
    </w:p>
    <w:p w14:paraId="3E2DC62F">
      <w:pPr>
        <w:pStyle w:val="28"/>
        <w:numPr>
          <w:ilvl w:val="0"/>
          <w:numId w:val="6"/>
        </w:numPr>
        <w:spacing w:line="276" w:lineRule="auto"/>
        <w:rPr>
          <w:rFonts w:hint="eastAsia"/>
        </w:rPr>
      </w:pPr>
      <w:r>
        <w:rPr>
          <w:rFonts w:ascii="等线" w:hAnsi="等线" w:eastAsia="等线" w:cs="等线"/>
        </w:rPr>
        <w:t>排序与过滤模块：对IVFQG返回的候选集进行精排和业务规则过滤，生成最终推荐列表。</w:t>
      </w:r>
    </w:p>
    <w:p w14:paraId="7D18C725">
      <w:pPr>
        <w:spacing w:line="276" w:lineRule="auto"/>
        <w:rPr>
          <w:rFonts w:hint="eastAsia"/>
        </w:rPr>
      </w:pPr>
      <w:r>
        <w:rPr>
          <w:rFonts w:ascii="等线" w:hAnsi="等线" w:eastAsia="等线" w:cs="等线"/>
        </w:rPr>
        <w:t>应用场景三：多媒体内容搜索引擎</w:t>
      </w:r>
    </w:p>
    <w:p w14:paraId="3A9CE0FC">
      <w:pPr>
        <w:spacing w:line="276" w:lineRule="auto"/>
        <w:rPr>
          <w:rFonts w:hint="eastAsia"/>
        </w:rPr>
      </w:pPr>
      <w:r>
        <w:rPr>
          <w:rFonts w:ascii="等线" w:hAnsi="等线" w:eastAsia="等线" w:cs="等线"/>
        </w:rPr>
        <w:t>在图像搜索、视频检索、音频识别等多模态场景中，需要将多媒体内容提取为Embedding向量并进行相似度检索。本发明可支持十亿级多媒体向量索引的快速构建和毫秒级查询响应。</w:t>
      </w:r>
    </w:p>
    <w:p w14:paraId="7EA7DCD2">
      <w:pPr>
        <w:spacing w:line="276" w:lineRule="auto"/>
        <w:rPr>
          <w:rFonts w:ascii="等线" w:hAnsi="等线" w:eastAsia="等线" w:cs="等线"/>
        </w:rPr>
      </w:pPr>
      <w:r>
        <w:rPr>
          <w:rFonts w:ascii="等线" w:hAnsi="等线" w:eastAsia="等线" w:cs="等线"/>
        </w:rPr>
        <w:t>该场景涉及的设备/模块及其功能结构如下：</w:t>
      </w:r>
    </w:p>
    <w:p w14:paraId="2626DD70">
      <w:pPr>
        <w:pStyle w:val="28"/>
        <w:numPr>
          <w:ilvl w:val="0"/>
          <w:numId w:val="7"/>
        </w:numPr>
        <w:spacing w:line="276" w:lineRule="auto"/>
        <w:rPr>
          <w:rFonts w:ascii="等线" w:hAnsi="等线" w:eastAsia="等线" w:cs="等线"/>
        </w:rPr>
      </w:pPr>
      <w:r>
        <w:rPr>
          <w:rFonts w:ascii="等线" w:hAnsi="等线" w:eastAsia="等线" w:cs="等线"/>
        </w:rPr>
        <w:t>多媒体特征提取模块：部署于GPU服务器，通过深度学习模型将图像、视频、音频转换为统一的高维向量表示；</w:t>
      </w:r>
    </w:p>
    <w:p w14:paraId="6726D239">
      <w:pPr>
        <w:pStyle w:val="28"/>
        <w:numPr>
          <w:ilvl w:val="0"/>
          <w:numId w:val="7"/>
        </w:numPr>
        <w:spacing w:line="276" w:lineRule="auto"/>
        <w:rPr>
          <w:rFonts w:ascii="等线" w:hAnsi="等线" w:eastAsia="等线" w:cs="等线"/>
        </w:rPr>
      </w:pPr>
      <w:r>
        <w:rPr>
          <w:rFonts w:ascii="等线" w:hAnsi="等线" w:eastAsia="等线" w:cs="等线"/>
        </w:rPr>
        <w:t>IVFQG索引引擎：构建并维护海量多媒体向量的索引结构，支持以图搜图、以视频搜视频等跨模态检索；</w:t>
      </w:r>
    </w:p>
    <w:p w14:paraId="234CBDF7">
      <w:pPr>
        <w:pStyle w:val="28"/>
        <w:numPr>
          <w:ilvl w:val="0"/>
          <w:numId w:val="7"/>
        </w:numPr>
        <w:spacing w:line="276" w:lineRule="auto"/>
        <w:rPr>
          <w:rFonts w:ascii="等线" w:hAnsi="等线" w:eastAsia="等线" w:cs="等线"/>
        </w:rPr>
      </w:pPr>
      <w:r>
        <w:rPr>
          <w:rFonts w:ascii="等线" w:hAnsi="等线" w:eastAsia="等线" w:cs="等线"/>
        </w:rPr>
        <w:t>检索网关：接收客户端上传的查询多媒体内容，协调特征提取和索引检索流程，返回相似内容列表；</w:t>
      </w:r>
    </w:p>
    <w:p w14:paraId="2F6FF7D8">
      <w:pPr>
        <w:pStyle w:val="28"/>
        <w:numPr>
          <w:ilvl w:val="0"/>
          <w:numId w:val="7"/>
        </w:numPr>
        <w:spacing w:line="276" w:lineRule="auto"/>
        <w:rPr>
          <w:rFonts w:hint="eastAsia"/>
        </w:rPr>
      </w:pPr>
      <w:r>
        <w:rPr>
          <w:rFonts w:ascii="等线" w:hAnsi="等线" w:eastAsia="等线" w:cs="等线"/>
        </w:rPr>
        <w:t>内容存储集群：存储原始多媒体文件及其对应的向量索引数据。</w:t>
      </w:r>
    </w:p>
    <w:p w14:paraId="7583DA34">
      <w:pPr>
        <w:spacing w:line="276" w:lineRule="auto"/>
        <w:rPr>
          <w:rFonts w:hint="eastAsia"/>
        </w:rPr>
      </w:pPr>
      <w:r>
        <w:rPr>
          <w:rFonts w:ascii="等线" w:hAnsi="等线" w:eastAsia="等线" w:cs="等线"/>
        </w:rPr>
        <w:t>应用场景四：向量数据库内核</w:t>
      </w:r>
    </w:p>
    <w:p w14:paraId="5E56FAB2">
      <w:pPr>
        <w:spacing w:line="276" w:lineRule="auto"/>
        <w:rPr>
          <w:rFonts w:hint="eastAsia"/>
        </w:rPr>
      </w:pPr>
      <w:r>
        <w:rPr>
          <w:rFonts w:ascii="等线" w:hAnsi="等线" w:eastAsia="等线" w:cs="等线"/>
        </w:rPr>
        <w:t>本发明可作为向量数据库（如Milvus、Faiss等）的核心索引算法，替代传统的IVF-PQ索引，为数据库提供更快的索引构建速度和更高的查询吞吐量。</w:t>
      </w:r>
    </w:p>
    <w:p w14:paraId="586A9BF2">
      <w:pPr>
        <w:spacing w:line="276" w:lineRule="auto"/>
        <w:rPr>
          <w:rFonts w:ascii="等线" w:hAnsi="等线" w:eastAsia="等线" w:cs="等线"/>
        </w:rPr>
      </w:pPr>
      <w:r>
        <w:rPr>
          <w:rFonts w:ascii="等线" w:hAnsi="等线" w:eastAsia="等线" w:cs="等线"/>
        </w:rPr>
        <w:t>该场景涉及的设备/模块及其功能结构如下：</w:t>
      </w:r>
    </w:p>
    <w:p w14:paraId="4A1C92A5">
      <w:pPr>
        <w:pStyle w:val="28"/>
        <w:numPr>
          <w:ilvl w:val="0"/>
          <w:numId w:val="8"/>
        </w:numPr>
        <w:spacing w:line="276" w:lineRule="auto"/>
        <w:rPr>
          <w:rFonts w:ascii="等线" w:hAnsi="等线" w:eastAsia="等线" w:cs="等线"/>
        </w:rPr>
      </w:pPr>
      <w:r>
        <w:rPr>
          <w:rFonts w:ascii="等线" w:hAnsi="等线" w:eastAsia="等线" w:cs="等线"/>
        </w:rPr>
        <w:t>向量数据库管理系统：部署于数据库服务器，提供向量数据的增删改查接口；</w:t>
      </w:r>
    </w:p>
    <w:p w14:paraId="79D6006B">
      <w:pPr>
        <w:pStyle w:val="28"/>
        <w:numPr>
          <w:ilvl w:val="0"/>
          <w:numId w:val="8"/>
        </w:numPr>
        <w:spacing w:line="276" w:lineRule="auto"/>
        <w:rPr>
          <w:rFonts w:ascii="等线" w:hAnsi="等线" w:eastAsia="等线" w:cs="等线"/>
        </w:rPr>
      </w:pPr>
      <w:r>
        <w:rPr>
          <w:rFonts w:ascii="等线" w:hAnsi="等线" w:eastAsia="等线" w:cs="等线"/>
        </w:rPr>
        <w:t>IVFQG索引插件：作为数据库的索引扩展模块，负责将用户写入的向量数据通过本发明的方法构建索引，并执行查询优化；</w:t>
      </w:r>
    </w:p>
    <w:p w14:paraId="4F2E88D1">
      <w:pPr>
        <w:pStyle w:val="28"/>
        <w:numPr>
          <w:ilvl w:val="0"/>
          <w:numId w:val="8"/>
        </w:numPr>
        <w:spacing w:line="276" w:lineRule="auto"/>
        <w:rPr>
          <w:rFonts w:ascii="等线" w:hAnsi="等线" w:eastAsia="等线" w:cs="等线"/>
        </w:rPr>
      </w:pPr>
      <w:r>
        <w:rPr>
          <w:rFonts w:ascii="等线" w:hAnsi="等线" w:eastAsia="等线" w:cs="等线"/>
        </w:rPr>
        <w:t>元数据管理模块：管理向量数据的属性信息和索引配置参数；</w:t>
      </w:r>
    </w:p>
    <w:p w14:paraId="49DC579B">
      <w:pPr>
        <w:pStyle w:val="28"/>
        <w:numPr>
          <w:ilvl w:val="0"/>
          <w:numId w:val="8"/>
        </w:numPr>
        <w:spacing w:line="276" w:lineRule="auto"/>
        <w:rPr>
          <w:rFonts w:hint="eastAsia"/>
        </w:rPr>
      </w:pPr>
      <w:r>
        <w:rPr>
          <w:rFonts w:ascii="等线" w:hAnsi="等线" w:eastAsia="等线" w:cs="等线"/>
        </w:rPr>
        <w:t>分布式存储后端：在集群环境下分片存储向量数据和索引文件，支持水平扩展。</w:t>
      </w:r>
    </w:p>
    <w:p w14:paraId="0DCA86A2">
      <w:pPr>
        <w:pStyle w:val="28"/>
        <w:numPr>
          <w:numId w:val="0"/>
        </w:numPr>
        <w:spacing w:line="276" w:lineRule="auto"/>
        <w:ind w:leftChars="0"/>
        <w:rPr>
          <w:rFonts w:hint="eastAsia" w:eastAsia="等线"/>
          <w:lang w:eastAsia="zh-CN"/>
        </w:rPr>
      </w:pPr>
      <w:r>
        <w:rPr>
          <w:rFonts w:hint="eastAsia" w:eastAsia="等线"/>
          <w:lang w:eastAsia="zh-CN"/>
        </w:rPr>
        <w:drawing>
          <wp:inline distT="0" distB="0" distL="114300" distR="114300">
            <wp:extent cx="5235575" cy="2526665"/>
            <wp:effectExtent l="0" t="0" r="9525" b="635"/>
            <wp:docPr id="1" name="图片 1" descr="fig1_application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application_architecture"/>
                    <pic:cNvPicPr>
                      <a:picLocks noChangeAspect="1"/>
                    </pic:cNvPicPr>
                  </pic:nvPicPr>
                  <pic:blipFill>
                    <a:blip r:embed="rId6"/>
                    <a:stretch>
                      <a:fillRect/>
                    </a:stretch>
                  </pic:blipFill>
                  <pic:spPr>
                    <a:xfrm>
                      <a:off x="0" y="0"/>
                      <a:ext cx="5235575" cy="2526665"/>
                    </a:xfrm>
                    <a:prstGeom prst="rect">
                      <a:avLst/>
                    </a:prstGeom>
                  </pic:spPr>
                </pic:pic>
              </a:graphicData>
            </a:graphic>
          </wp:inline>
        </w:drawing>
      </w:r>
    </w:p>
    <w:p w14:paraId="631F5078">
      <w:pPr>
        <w:pStyle w:val="4"/>
        <w:spacing w:line="276" w:lineRule="auto"/>
        <w:rPr>
          <w:rFonts w:hint="eastAsia"/>
          <w:color w:val="auto"/>
        </w:rPr>
      </w:pPr>
      <w:r>
        <w:rPr>
          <w:rFonts w:ascii="等线 Light" w:hAnsi="等线 Light" w:eastAsia="等线 Light" w:cs="等线 Light"/>
          <w:color w:val="auto"/>
        </w:rPr>
        <w:t>4.4 本发明涉及的产品、可能的售卖形态以及侵权取证方式</w:t>
      </w:r>
    </w:p>
    <w:p w14:paraId="435EFBB0">
      <w:pPr>
        <w:spacing w:line="276" w:lineRule="auto"/>
        <w:rPr>
          <w:rFonts w:hint="eastAsia"/>
        </w:rPr>
      </w:pPr>
      <w:r>
        <w:rPr>
          <w:rFonts w:ascii="等线" w:hAnsi="等线" w:eastAsia="等线" w:cs="等线"/>
        </w:rPr>
        <w:t>产品形态与售卖形态：</w:t>
      </w:r>
    </w:p>
    <w:p w14:paraId="2DEA5E96">
      <w:pPr>
        <w:pStyle w:val="28"/>
        <w:numPr>
          <w:ilvl w:val="0"/>
          <w:numId w:val="9"/>
        </w:numPr>
        <w:spacing w:line="276" w:lineRule="auto"/>
        <w:rPr>
          <w:rFonts w:hint="eastAsia"/>
        </w:rPr>
      </w:pPr>
      <w:r>
        <w:rPr>
          <w:rFonts w:ascii="等线" w:hAnsi="等线" w:eastAsia="等线" w:cs="等线"/>
        </w:rPr>
        <w:t>向量数据库软件：将IVFQG索引作为核心引擎集成到向量数据库系统中，以企业版软件许可证（License）形式授权给企业客户，按部署节点数或数据容量收费；</w:t>
      </w:r>
    </w:p>
    <w:p w14:paraId="133B7D8E">
      <w:pPr>
        <w:pStyle w:val="28"/>
        <w:numPr>
          <w:ilvl w:val="0"/>
          <w:numId w:val="9"/>
        </w:numPr>
        <w:spacing w:line="276" w:lineRule="auto"/>
        <w:rPr>
          <w:rFonts w:hint="eastAsia"/>
        </w:rPr>
      </w:pPr>
      <w:r>
        <w:rPr>
          <w:rFonts w:ascii="等线" w:hAnsi="等线" w:eastAsia="等线" w:cs="等线"/>
        </w:rPr>
        <w:t>云搜索服务（SaaS/PaaS）：在云计算平台提供基于IVFQG的向量检索云服务，支持按查询次数（QPS）、存储容量或包年包月订阅模式计费；</w:t>
      </w:r>
    </w:p>
    <w:p w14:paraId="6C4C7AFD">
      <w:pPr>
        <w:pStyle w:val="28"/>
        <w:numPr>
          <w:ilvl w:val="0"/>
          <w:numId w:val="9"/>
        </w:numPr>
        <w:spacing w:line="276" w:lineRule="auto"/>
        <w:rPr>
          <w:rFonts w:hint="eastAsia"/>
        </w:rPr>
      </w:pPr>
      <w:r>
        <w:rPr>
          <w:rFonts w:ascii="等线" w:hAnsi="等线" w:eastAsia="等线" w:cs="等线"/>
        </w:rPr>
        <w:t>嵌入式检索引擎SDK：将IVFQG算法封装为轻量级软件开发工具包（SDK）或动态链接库（DLL），以开发授权形式提供给设备制造商或应用开发商，按部署实例数或设备出货量收费；</w:t>
      </w:r>
    </w:p>
    <w:p w14:paraId="4D1723E9">
      <w:pPr>
        <w:pStyle w:val="28"/>
        <w:numPr>
          <w:ilvl w:val="0"/>
          <w:numId w:val="9"/>
        </w:numPr>
        <w:spacing w:line="276" w:lineRule="auto"/>
        <w:rPr>
          <w:rFonts w:hint="eastAsia"/>
        </w:rPr>
      </w:pPr>
      <w:r>
        <w:rPr>
          <w:rFonts w:ascii="等线" w:hAnsi="等线" w:eastAsia="等线" w:cs="等线"/>
        </w:rPr>
        <w:t>AI基础设施组件：作为大模型应用基础设施（如RAG平台、推荐系统中台）的核心检索模块，以技术服务费或平台订阅费形式收费，通常包含在整体AI解决方案中打包售卖。</w:t>
      </w:r>
    </w:p>
    <w:p w14:paraId="0BC97FFC">
      <w:pPr>
        <w:spacing w:line="276" w:lineRule="auto"/>
        <w:rPr>
          <w:rFonts w:hint="eastAsia"/>
        </w:rPr>
      </w:pPr>
      <w:r>
        <w:rPr>
          <w:rFonts w:ascii="等线" w:hAnsi="等线" w:eastAsia="等线" w:cs="等线"/>
        </w:rPr>
        <w:t>侵权取证方式：</w:t>
      </w:r>
    </w:p>
    <w:p w14:paraId="4C3F8DF5">
      <w:pPr>
        <w:pStyle w:val="28"/>
        <w:numPr>
          <w:ilvl w:val="0"/>
          <w:numId w:val="10"/>
        </w:numPr>
        <w:spacing w:line="276" w:lineRule="auto"/>
        <w:rPr>
          <w:rFonts w:hint="eastAsia"/>
        </w:rPr>
      </w:pPr>
      <w:r>
        <w:rPr>
          <w:rFonts w:ascii="等线" w:hAnsi="等线" w:eastAsia="等线" w:cs="等线"/>
        </w:rPr>
        <w:t>技术文档分析：通过分析友商产品的技术白皮书、专利公开文本、博客文章等，确认其是否公开了"以静态采样图替代K-Means"、"级联驱逐负载均衡"或"倒排路由表迭代扩展搜索"等核心技术特征。</w:t>
      </w:r>
    </w:p>
    <w:p w14:paraId="3D35DEAC">
      <w:pPr>
        <w:pStyle w:val="28"/>
        <w:numPr>
          <w:ilvl w:val="0"/>
          <w:numId w:val="10"/>
        </w:numPr>
        <w:spacing w:line="276" w:lineRule="auto"/>
        <w:rPr>
          <w:rFonts w:hint="eastAsia"/>
        </w:rPr>
      </w:pPr>
      <w:r>
        <w:rPr>
          <w:rFonts w:ascii="等线" w:hAnsi="等线" w:eastAsia="等线" w:cs="等线"/>
        </w:rPr>
        <w:t>API性能测试：通过调用友商向量检索产品的API接口，测试其在不同数据规模下的索引构建时间和QPS指标。若友商产品在Recall&gt;0.85约束下展现出与IVFQG类似的构建加速比和QPS加速比组合，可作为辅助证据。</w:t>
      </w:r>
    </w:p>
    <w:p w14:paraId="56AC5130">
      <w:pPr>
        <w:pStyle w:val="28"/>
        <w:numPr>
          <w:ilvl w:val="0"/>
          <w:numId w:val="10"/>
        </w:numPr>
        <w:spacing w:line="276" w:lineRule="auto"/>
        <w:rPr>
          <w:rFonts w:hint="eastAsia"/>
        </w:rPr>
      </w:pPr>
      <w:r>
        <w:rPr>
          <w:rFonts w:ascii="等线" w:hAnsi="等线" w:eastAsia="等线" w:cs="等线"/>
        </w:rPr>
        <w:t>开源代码审查：若友商产品包含开源组件，审查其开源代码中是否实现了BalancedAssign算法、静态质心图构建流程或基于倒排路由表的Beam Search机制。</w:t>
      </w:r>
    </w:p>
    <w:p w14:paraId="2BB37D13">
      <w:pPr>
        <w:pStyle w:val="28"/>
        <w:numPr>
          <w:ilvl w:val="0"/>
          <w:numId w:val="10"/>
        </w:numPr>
        <w:spacing w:line="276" w:lineRule="auto"/>
        <w:rPr>
          <w:rFonts w:hint="eastAsia"/>
        </w:rPr>
      </w:pPr>
      <w:r>
        <w:rPr>
          <w:rFonts w:ascii="等线" w:hAnsi="等线" w:eastAsia="等线" w:cs="等线"/>
        </w:rPr>
        <w:t>产品功能比对：对比友商产品的索引构建流程是否包含"采样-构图-图搜索分配-量化"的非迭代流程，以及查询流程是否包含"初始探针扫描-重排序-迭代路由扩展"的多阶段机制。</w:t>
      </w:r>
    </w:p>
    <w:p w14:paraId="1FD20531">
      <w:pPr>
        <w:pStyle w:val="4"/>
        <w:spacing w:line="276" w:lineRule="auto"/>
        <w:rPr>
          <w:rFonts w:hint="eastAsia"/>
          <w:color w:val="auto"/>
        </w:rPr>
      </w:pPr>
      <w:r>
        <w:rPr>
          <w:rFonts w:ascii="等线 Light" w:hAnsi="等线 Light" w:eastAsia="等线 Light" w:cs="等线 Light"/>
          <w:color w:val="auto"/>
        </w:rPr>
        <w:t>4.5 本发明实现的具体实施例</w:t>
      </w:r>
    </w:p>
    <w:p w14:paraId="571DE09F">
      <w:pPr>
        <w:pStyle w:val="5"/>
        <w:spacing w:line="276" w:lineRule="auto"/>
        <w:rPr>
          <w:rFonts w:hint="eastAsia"/>
          <w:color w:val="auto"/>
        </w:rPr>
      </w:pPr>
      <w:r>
        <w:rPr>
          <w:rFonts w:ascii="等线 Light" w:hAnsi="等线 Light" w:eastAsia="等线 Light" w:cs="等线 Light"/>
          <w:color w:val="auto"/>
        </w:rPr>
        <w:t>4.5.1 本发明实施例一</w:t>
      </w:r>
    </w:p>
    <w:p w14:paraId="303F19F7">
      <w:pPr>
        <w:spacing w:line="276" w:lineRule="auto"/>
        <w:rPr>
          <w:rFonts w:hint="eastAsia"/>
        </w:rPr>
      </w:pPr>
      <w:r>
        <w:rPr>
          <w:rFonts w:ascii="等线" w:hAnsi="等线" w:eastAsia="等线" w:cs="等线"/>
        </w:rPr>
        <w:t>实施例一描述了本发明IVFQG索引的完整构建与查询流程。</w:t>
      </w:r>
    </w:p>
    <w:p w14:paraId="7FD3E946">
      <w:pPr>
        <w:spacing w:line="276" w:lineRule="auto"/>
        <w:rPr>
          <w:rFonts w:hint="eastAsia"/>
        </w:rPr>
      </w:pPr>
      <w:r>
        <w:rPr>
          <w:rFonts w:ascii="等线" w:hAnsi="等线" w:eastAsia="等线" w:cs="等线"/>
        </w:rPr>
        <w:t>（一）系统组成与模块架构</w:t>
      </w:r>
    </w:p>
    <w:p w14:paraId="7FA92CBE">
      <w:pPr>
        <w:spacing w:line="276" w:lineRule="auto"/>
        <w:rPr>
          <w:rFonts w:hint="eastAsia"/>
        </w:rPr>
      </w:pPr>
      <w:r>
        <w:rPr>
          <w:rFonts w:ascii="等线" w:hAnsi="等线" w:eastAsia="等线" w:cs="等线"/>
        </w:rPr>
        <w:t>本实施例涉及的系统包含以下核心组成部分及其连接关系：</w:t>
      </w:r>
    </w:p>
    <w:p w14:paraId="18268138">
      <w:pPr>
        <w:pStyle w:val="28"/>
        <w:numPr>
          <w:ilvl w:val="0"/>
          <w:numId w:val="11"/>
        </w:numPr>
        <w:spacing w:line="276" w:lineRule="auto"/>
        <w:rPr>
          <w:rFonts w:hint="eastAsia"/>
        </w:rPr>
      </w:pPr>
      <w:r>
        <w:rPr>
          <w:rFonts w:ascii="等线" w:hAnsi="等线" w:eastAsia="等线" w:cs="等线"/>
        </w:rPr>
        <w:t>数据采样模块：负责从全量数据集中随机抽取固定比例（如1%）的数据点作为永久质心；</w:t>
      </w:r>
    </w:p>
    <w:p w14:paraId="1837EF21">
      <w:pPr>
        <w:pStyle w:val="28"/>
        <w:numPr>
          <w:ilvl w:val="0"/>
          <w:numId w:val="11"/>
        </w:numPr>
        <w:spacing w:line="276" w:lineRule="auto"/>
        <w:rPr>
          <w:rFonts w:hint="eastAsia"/>
        </w:rPr>
      </w:pPr>
      <w:r>
        <w:rPr>
          <w:rFonts w:ascii="等线" w:hAnsi="等线" w:eastAsia="等线" w:cs="等线"/>
        </w:rPr>
        <w:t>质心图构建模块：接收采样模块输出的质心集合，构建导航图结构（如通过NNDescent算法）；</w:t>
      </w:r>
    </w:p>
    <w:p w14:paraId="34DD77CA">
      <w:pPr>
        <w:pStyle w:val="28"/>
        <w:numPr>
          <w:ilvl w:val="0"/>
          <w:numId w:val="11"/>
        </w:numPr>
        <w:spacing w:line="276" w:lineRule="auto"/>
        <w:rPr>
          <w:rFonts w:hint="eastAsia"/>
        </w:rPr>
      </w:pPr>
      <w:r>
        <w:rPr>
          <w:rFonts w:ascii="等线" w:hAnsi="等线" w:eastAsia="等线" w:cs="等线"/>
        </w:rPr>
        <w:t>图搜索分配模块：对全量数据集中的每个数据点，在质心图上执行近似最近邻搜索，生成每个数据点的候选类簇列表；</w:t>
      </w:r>
    </w:p>
    <w:p w14:paraId="2F496011">
      <w:pPr>
        <w:pStyle w:val="28"/>
        <w:numPr>
          <w:ilvl w:val="0"/>
          <w:numId w:val="11"/>
        </w:numPr>
        <w:spacing w:line="276" w:lineRule="auto"/>
        <w:rPr>
          <w:rFonts w:hint="eastAsia"/>
        </w:rPr>
      </w:pPr>
      <w:r>
        <w:rPr>
          <w:rFonts w:ascii="等线" w:hAnsi="等线" w:eastAsia="等线" w:cs="等线"/>
        </w:rPr>
        <w:t>负载均衡分配模块：采用并发负载均衡分配策略（BalancedAssign），在多线程环境下将数据点均匀分配至各类簇，该模块内部包含级联驱逐机制和细粒度锁管理单元；</w:t>
      </w:r>
    </w:p>
    <w:p w14:paraId="2CF7444B">
      <w:pPr>
        <w:pStyle w:val="28"/>
        <w:numPr>
          <w:ilvl w:val="0"/>
          <w:numId w:val="11"/>
        </w:numPr>
        <w:spacing w:line="276" w:lineRule="auto"/>
        <w:rPr>
          <w:rFonts w:hint="eastAsia"/>
        </w:rPr>
      </w:pPr>
      <w:r>
        <w:rPr>
          <w:rFonts w:ascii="等线" w:hAnsi="等线" w:eastAsia="等线" w:cs="等线"/>
        </w:rPr>
        <w:t>量化编码模块：对每个类簇内的数据点执行量化压缩（如RaBitQ量化），生成低比特编码和量化因子；</w:t>
      </w:r>
    </w:p>
    <w:p w14:paraId="2503BC1A">
      <w:pPr>
        <w:pStyle w:val="28"/>
        <w:numPr>
          <w:ilvl w:val="0"/>
          <w:numId w:val="11"/>
        </w:numPr>
        <w:spacing w:line="276" w:lineRule="auto"/>
        <w:rPr>
          <w:rFonts w:hint="eastAsia"/>
        </w:rPr>
      </w:pPr>
      <w:r>
        <w:rPr>
          <w:rFonts w:ascii="等线" w:hAnsi="等线" w:eastAsia="等线" w:cs="等线"/>
        </w:rPr>
        <w:t>路由表构建模块：基于负载均衡分配结果，构建记录数据点到类簇映射关系的倒排路由表；</w:t>
      </w:r>
    </w:p>
    <w:p w14:paraId="1B53F688">
      <w:pPr>
        <w:pStyle w:val="28"/>
        <w:numPr>
          <w:ilvl w:val="0"/>
          <w:numId w:val="11"/>
        </w:numPr>
        <w:spacing w:line="276" w:lineRule="auto"/>
        <w:rPr>
          <w:rFonts w:hint="eastAsia"/>
        </w:rPr>
      </w:pPr>
      <w:r>
        <w:rPr>
          <w:rFonts w:ascii="等线" w:hAnsi="等线" w:eastAsia="等线" w:cs="等线"/>
        </w:rPr>
        <w:t>查询处理模块：接收查询向量，依次执行探针生成、候选召回、重排序和迭代扩展操作；</w:t>
      </w:r>
    </w:p>
    <w:p w14:paraId="7F258503">
      <w:pPr>
        <w:pStyle w:val="28"/>
        <w:numPr>
          <w:ilvl w:val="0"/>
          <w:numId w:val="11"/>
        </w:numPr>
        <w:spacing w:line="276" w:lineRule="auto"/>
        <w:rPr>
          <w:rFonts w:hint="eastAsia"/>
        </w:rPr>
      </w:pPr>
      <w:r>
        <w:rPr>
          <w:rFonts w:ascii="等线" w:hAnsi="等线" w:eastAsia="等线" w:cs="等线"/>
        </w:rPr>
        <w:t>索引存储模块：负责持久化存储质心图、类簇数据、量化编码和倒排路由表。</w:t>
      </w:r>
    </w:p>
    <w:p w14:paraId="5D6CBA7A">
      <w:pPr>
        <w:spacing w:line="276" w:lineRule="auto"/>
        <w:rPr>
          <w:rFonts w:hint="eastAsia"/>
        </w:rPr>
      </w:pPr>
      <w:r>
        <w:rPr>
          <w:rFonts w:ascii="等线" w:hAnsi="等线" w:eastAsia="等线" w:cs="等线"/>
        </w:rPr>
        <w:t>各模块间的连接关系为：数据采样模块的输出连接至质心图构建模块；质心图构建模块的输出分别连接至图搜索分配模块和量化编码模块（提供质心参考向量）；图搜索分配模块的候选类簇列表输出至负载均衡分配模块；负载均衡分配模块的分配结果分别输出至量化编码模块和路由表构建模块；量化编码模块和路由表构建模块的输出存入索引存储模块；查询处理模块在查询阶段从索引存储模块读取索引数据并返回查询结果。</w:t>
      </w:r>
    </w:p>
    <w:p w14:paraId="2F3AB3DC">
      <w:pPr>
        <w:spacing w:line="276" w:lineRule="auto"/>
        <w:rPr>
          <w:rFonts w:hint="eastAsia"/>
        </w:rPr>
      </w:pPr>
      <w:r>
        <w:rPr>
          <w:rFonts w:ascii="等线" w:hAnsi="等线" w:eastAsia="等线" w:cs="等线"/>
        </w:rPr>
        <w:t>（二）离线索引构建流程</w:t>
      </w:r>
    </w:p>
    <w:p w14:paraId="7A12DB15">
      <w:pPr>
        <w:spacing w:line="276" w:lineRule="auto"/>
        <w:rPr>
          <w:rFonts w:hint="eastAsia"/>
        </w:rPr>
      </w:pPr>
      <w:r>
        <w:rPr>
          <w:rFonts w:ascii="等线" w:hAnsi="等线" w:eastAsia="等线" w:cs="等线"/>
        </w:rPr>
        <w:t>索引构建在系统初始化阶段或离线批处理阶段执行，目标是在数据加载阶段生成一个既能快速定位又能高效扫描的数据结构。该构建过程完全摒弃传统的K-Means范式，在具有多核CPU和充足内存的服务器环境下，通过采样、构图、分配和量化四个步骤一次性完成。</w:t>
      </w:r>
    </w:p>
    <w:p w14:paraId="406B9E81">
      <w:pPr>
        <w:spacing w:line="276" w:lineRule="auto"/>
        <w:rPr>
          <w:rFonts w:hint="eastAsia"/>
        </w:rPr>
      </w:pPr>
      <w:r>
        <w:rPr>
          <w:rFonts w:ascii="等线" w:hAnsi="等线" w:eastAsia="等线" w:cs="等线"/>
        </w:rPr>
        <w:t>阶段S1：构建顶层质心图</w:t>
      </w:r>
    </w:p>
    <w:p w14:paraId="7BAC87A9">
      <w:pPr>
        <w:spacing w:line="276" w:lineRule="auto"/>
        <w:rPr>
          <w:rFonts w:hint="eastAsia"/>
        </w:rPr>
      </w:pPr>
      <w:r>
        <w:rPr>
          <w:rFonts w:ascii="等线" w:hAnsi="等线" w:eastAsia="等线" w:cs="等线"/>
        </w:rPr>
        <w:t>在索引构建阶段，首先由数据采样模块从全量N个数据点中随机抽样极小比例的样本（例如1%，记为Ns个点）作为所有类簇的唯一、永久的中心点（Centroids）。随后，质心图构建模块在这Ns个采样点上构建一个高质量的导航图（Navigable Graph，例如使用NNDescent技术），其时间开销相较于全量K-Means几乎可以忽略不计。这个图称为"质心图"（Centroid Graph）。</w:t>
      </w:r>
    </w:p>
    <w:p w14:paraId="24DD6591">
      <w:pPr>
        <w:spacing w:line="276" w:lineRule="auto"/>
        <w:rPr>
          <w:rFonts w:hint="eastAsia"/>
        </w:rPr>
      </w:pPr>
      <w:r>
        <w:rPr>
          <w:rFonts w:ascii="等线" w:hAnsi="等线" w:eastAsia="等线" w:cs="等线"/>
        </w:rPr>
        <w:t>接着，图搜索分配模块对全量数据集中的每一个数据点xi执行操作：将xi作为查询向量，在质心图上进行一次高效的ANNS搜索，找出距离xi最近的nprobe个候选质心。这个过程将全量数据的质心归属问题，从O(N·Ns)的暴力计算复杂度优化为了O(N·log(Ns))的图搜索复杂度。</w:t>
      </w:r>
    </w:p>
    <w:p w14:paraId="5C8E393A">
      <w:pPr>
        <w:spacing w:line="276" w:lineRule="auto"/>
        <w:rPr>
          <w:rFonts w:hint="eastAsia"/>
        </w:rPr>
      </w:pPr>
      <w:r>
        <w:rPr>
          <w:rFonts w:ascii="等线" w:hAnsi="等线" w:eastAsia="等线" w:cs="等线"/>
        </w:rPr>
        <w:t>这些采样点被永久固定为类簇中心，彻底取消了传统K-Means中"重新计算几何中心并多次迭代"的步骤。</w:t>
      </w:r>
    </w:p>
    <w:p w14:paraId="40591309">
      <w:pPr>
        <w:spacing w:line="276" w:lineRule="auto"/>
        <w:rPr>
          <w:rFonts w:hint="eastAsia" w:ascii="等线" w:hAnsi="等线" w:eastAsia="等线" w:cs="等线"/>
          <w:lang w:eastAsia="zh-CN"/>
        </w:rPr>
      </w:pPr>
      <w:r>
        <w:rPr>
          <w:rFonts w:hint="eastAsia" w:ascii="等线" w:hAnsi="等线" w:eastAsia="等线" w:cs="等线"/>
          <w:lang w:eastAsia="zh-CN"/>
        </w:rPr>
        <w:drawing>
          <wp:inline distT="0" distB="0" distL="114300" distR="114300">
            <wp:extent cx="5273675" cy="3199765"/>
            <wp:effectExtent l="0" t="0" r="9525" b="635"/>
            <wp:docPr id="2" name="图片 2" descr="fig2_centroid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_centroid_graph"/>
                    <pic:cNvPicPr>
                      <a:picLocks noChangeAspect="1"/>
                    </pic:cNvPicPr>
                  </pic:nvPicPr>
                  <pic:blipFill>
                    <a:blip r:embed="rId7"/>
                    <a:stretch>
                      <a:fillRect/>
                    </a:stretch>
                  </pic:blipFill>
                  <pic:spPr>
                    <a:xfrm>
                      <a:off x="0" y="0"/>
                      <a:ext cx="5273675" cy="3199765"/>
                    </a:xfrm>
                    <a:prstGeom prst="rect">
                      <a:avLst/>
                    </a:prstGeom>
                  </pic:spPr>
                </pic:pic>
              </a:graphicData>
            </a:graphic>
          </wp:inline>
        </w:drawing>
      </w:r>
    </w:p>
    <w:p w14:paraId="573BBF72">
      <w:pPr>
        <w:spacing w:line="276" w:lineRule="auto"/>
        <w:rPr>
          <w:rFonts w:hint="eastAsia"/>
        </w:rPr>
      </w:pPr>
      <w:r>
        <w:rPr>
          <w:rFonts w:ascii="等线" w:hAnsi="等线" w:eastAsia="等线" w:cs="等线"/>
        </w:rPr>
        <w:t>阶段S2：并发负载均衡分配</w:t>
      </w:r>
    </w:p>
    <w:p w14:paraId="2A2C55ED">
      <w:pPr>
        <w:spacing w:line="276" w:lineRule="auto"/>
        <w:rPr>
          <w:rFonts w:hint="eastAsia"/>
        </w:rPr>
      </w:pPr>
      <w:r>
        <w:rPr>
          <w:rFonts w:ascii="等线" w:hAnsi="等线" w:eastAsia="等线" w:cs="等线"/>
        </w:rPr>
        <w:t>在为每个数据点找到nprobe个候选类簇后，负载均衡分配模块采用并发负载均衡分配策略（BalancedAssign）将数据点高效、均匀地分配到倒排列表中。</w:t>
      </w:r>
    </w:p>
    <w:p w14:paraId="01E932F4">
      <w:pPr>
        <w:spacing w:line="276" w:lineRule="auto"/>
        <w:rPr>
          <w:rFonts w:hint="eastAsia"/>
        </w:rPr>
      </w:pPr>
      <w:r>
        <w:rPr>
          <w:rFonts w:ascii="等线" w:hAnsi="等线" w:eastAsia="等线" w:cs="等线"/>
        </w:rPr>
        <w:t>该分配策略由负载均衡分配模块执行，包含两个阶段：</w:t>
      </w:r>
    </w:p>
    <w:p w14:paraId="6A54638D">
      <w:pPr>
        <w:spacing w:line="276" w:lineRule="auto"/>
        <w:rPr>
          <w:rFonts w:hint="eastAsia"/>
        </w:rPr>
      </w:pPr>
      <w:r>
        <w:rPr>
          <w:rFonts w:ascii="等线" w:hAnsi="等线" w:eastAsia="等线" w:cs="等线"/>
        </w:rPr>
        <w:t>Phase 1：初始竞争分配</w:t>
      </w:r>
    </w:p>
    <w:p w14:paraId="427BF8CF">
      <w:pPr>
        <w:spacing w:line="276" w:lineRule="auto"/>
        <w:rPr>
          <w:rFonts w:hint="eastAsia"/>
        </w:rPr>
      </w:pPr>
      <w:r>
        <w:rPr>
          <w:rFonts w:ascii="等线" w:hAnsi="等线" w:eastAsia="等线" w:cs="等线"/>
        </w:rPr>
        <w:t>负载均衡分配模块首先设定每个类簇的容量上限maxLoad为targetClusterSize与loadFactor的乘积，并初始化所有数据点的assignedCount为0，所有类簇的clusterLists为空列表。</w:t>
      </w:r>
    </w:p>
    <w:p w14:paraId="2904ECDA">
      <w:pPr>
        <w:spacing w:line="276" w:lineRule="auto"/>
        <w:rPr>
          <w:rFonts w:hint="eastAsia"/>
        </w:rPr>
      </w:pPr>
      <w:r>
        <w:rPr>
          <w:rFonts w:ascii="等线" w:hAnsi="等线" w:eastAsia="等线" w:cs="等线"/>
        </w:rPr>
        <w:t>随后，负载均衡分配模块进行d轮初始分配（d为预设的初始重复数，表示每个数据点期望被分配到的类簇数量上限）。在每一轮中，该模块对输入缓存中的每个数据点xi（在多线程环境下由多个工作线程并行处理），依次尝试将其分配到其候选类簇列表中尚未处理过的类簇：</w:t>
      </w:r>
    </w:p>
    <w:p w14:paraId="3CFF1DE5">
      <w:pPr>
        <w:spacing w:line="276" w:lineRule="auto"/>
        <w:rPr>
          <w:rFonts w:hint="eastAsia"/>
        </w:rPr>
      </w:pPr>
      <w:r>
        <w:rPr>
          <w:rFonts w:ascii="等线" w:hAnsi="等线" w:eastAsia="等线" w:cs="等线"/>
        </w:rPr>
        <w:t>若目标类簇的当前大小小于maxLoad，则工作线程将当前数据点加入该类簇，并将该数据点的assignedCount加1；</w:t>
      </w:r>
    </w:p>
    <w:p w14:paraId="222AA499">
      <w:pPr>
        <w:spacing w:line="276" w:lineRule="auto"/>
        <w:rPr>
          <w:rFonts w:hint="eastAsia"/>
        </w:rPr>
      </w:pPr>
      <w:r>
        <w:rPr>
          <w:rFonts w:ascii="等线" w:hAnsi="等线" w:eastAsia="等线" w:cs="等线"/>
        </w:rPr>
        <w:t>若目标类簇已满，但当前数据点与该类簇质心的距离小于该类簇中已有数据点与质心的最大距离（即类簇中最远的点），则工作线程将类簇中最远的点踢出（Evict），插入当前数据点；</w:t>
      </w:r>
    </w:p>
    <w:p w14:paraId="58F94338">
      <w:pPr>
        <w:spacing w:line="276" w:lineRule="auto"/>
        <w:rPr>
          <w:rFonts w:hint="eastAsia"/>
        </w:rPr>
      </w:pPr>
      <w:r>
        <w:rPr>
          <w:rFonts w:ascii="等线" w:hAnsi="等线" w:eastAsia="等线" w:cs="等线"/>
        </w:rPr>
        <w:t>被踢出的点由其所在工作线程从该点的候选列表中寻找下一个最优的、尚未尝试的类簇，重复上述加入或竞争过程，形成级联（Cascading）调整，直至该点成功分配或候选列表耗尽。</w:t>
      </w:r>
    </w:p>
    <w:p w14:paraId="6D9499AD">
      <w:pPr>
        <w:spacing w:line="276" w:lineRule="auto"/>
        <w:rPr>
          <w:rFonts w:hint="eastAsia"/>
        </w:rPr>
      </w:pPr>
      <w:r>
        <w:rPr>
          <w:rFonts w:ascii="等线" w:hAnsi="等线" w:eastAsia="等线" w:cs="等线"/>
        </w:rPr>
        <w:t>该过程通过负载均衡分配模块内部的细粒度锁管理单元为每个类簇的倒排列表分配独立的互斥锁，实现高并发环境下的线程安全。</w:t>
      </w:r>
    </w:p>
    <w:p w14:paraId="78D875FC">
      <w:pPr>
        <w:spacing w:line="276" w:lineRule="auto"/>
        <w:rPr>
          <w:rFonts w:hint="eastAsia"/>
        </w:rPr>
      </w:pPr>
      <w:r>
        <w:rPr>
          <w:rFonts w:ascii="等线" w:hAnsi="等线" w:eastAsia="等线" w:cs="等线"/>
        </w:rPr>
        <w:t>Phase 2：处理未完全分配节点</w:t>
      </w:r>
    </w:p>
    <w:p w14:paraId="2333335E">
      <w:pPr>
        <w:spacing w:line="276" w:lineRule="auto"/>
        <w:rPr>
          <w:rFonts w:hint="eastAsia"/>
        </w:rPr>
      </w:pPr>
      <w:r>
        <w:rPr>
          <w:rFonts w:ascii="等线" w:hAnsi="等线" w:eastAsia="等线" w:cs="等线"/>
        </w:rPr>
        <w:t>Phase 1完成后，负载均衡分配模块将数据点按照assignedCount分组。对于assignedCount小于d的数据点，由工作线程依次尝试在其剩余的候选类簇中寻找未满的类簇进行补充分配，确保尽可能多的数据点达到期望的副本数。</w:t>
      </w:r>
    </w:p>
    <w:p w14:paraId="7C146FF1">
      <w:pPr>
        <w:spacing w:line="276" w:lineRule="auto"/>
        <w:jc w:val="center"/>
        <w:rPr>
          <w:rFonts w:hint="eastAsia" w:ascii="等线" w:hAnsi="等线" w:eastAsia="等线" w:cs="等线"/>
          <w:lang w:eastAsia="zh-CN"/>
        </w:rPr>
      </w:pPr>
      <w:r>
        <w:rPr>
          <w:rFonts w:hint="eastAsia" w:ascii="等线" w:hAnsi="等线" w:eastAsia="等线" w:cs="等线"/>
          <w:lang w:eastAsia="zh-CN"/>
        </w:rPr>
        <w:drawing>
          <wp:inline distT="0" distB="0" distL="114300" distR="114300">
            <wp:extent cx="3463925" cy="4595495"/>
            <wp:effectExtent l="0" t="0" r="3175" b="1905"/>
            <wp:docPr id="3" name="图片 3" descr="fig3_balanced_as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_balanced_assign"/>
                    <pic:cNvPicPr>
                      <a:picLocks noChangeAspect="1"/>
                    </pic:cNvPicPr>
                  </pic:nvPicPr>
                  <pic:blipFill>
                    <a:blip r:embed="rId8"/>
                    <a:stretch>
                      <a:fillRect/>
                    </a:stretch>
                  </pic:blipFill>
                  <pic:spPr>
                    <a:xfrm>
                      <a:off x="0" y="0"/>
                      <a:ext cx="3463925" cy="4595495"/>
                    </a:xfrm>
                    <a:prstGeom prst="rect">
                      <a:avLst/>
                    </a:prstGeom>
                  </pic:spPr>
                </pic:pic>
              </a:graphicData>
            </a:graphic>
          </wp:inline>
        </w:drawing>
      </w:r>
    </w:p>
    <w:p w14:paraId="6E4A30DC">
      <w:pPr>
        <w:spacing w:line="276" w:lineRule="auto"/>
        <w:rPr>
          <w:rFonts w:hint="eastAsia"/>
        </w:rPr>
      </w:pPr>
      <w:r>
        <w:rPr>
          <w:rFonts w:ascii="等线" w:hAnsi="等线" w:eastAsia="等线" w:cs="等线"/>
        </w:rPr>
        <w:t>阶段S3：类簇内量化编码</w:t>
      </w:r>
    </w:p>
    <w:p w14:paraId="2F414E5A">
      <w:pPr>
        <w:spacing w:line="276" w:lineRule="auto"/>
        <w:rPr>
          <w:rFonts w:hint="eastAsia"/>
        </w:rPr>
      </w:pPr>
      <w:r>
        <w:rPr>
          <w:rFonts w:ascii="等线" w:hAnsi="等线" w:eastAsia="等线" w:cs="等线"/>
        </w:rPr>
        <w:t>量化编码模块从负载均衡分配模块获取每个类簇的分配结果。对于每个类簇j，量化编码模块首先获取其质心向量center_j（由质心图构建模块提供）和该类簇内的所有数据点points_j及其原始编号pids_j。随后，量化编码模块对每个类簇独立执行量化操作：通过旋转变换、范围查找和编码步骤，将浮点向量压缩为低比特编码codes_j，并记录量化因子factors_j。量化编码模块将编码结果、量化因子和原始编号存入索引存储模块的IVF数据区。</w:t>
      </w:r>
    </w:p>
    <w:p w14:paraId="776791DB">
      <w:pPr>
        <w:spacing w:line="276" w:lineRule="auto"/>
        <w:rPr>
          <w:rFonts w:hint="eastAsia"/>
        </w:rPr>
      </w:pPr>
      <w:r>
        <w:rPr>
          <w:rFonts w:ascii="等线" w:hAnsi="等线" w:eastAsia="等线" w:cs="等线"/>
        </w:rPr>
        <w:t>阶段S4：构建倒排路由表</w:t>
      </w:r>
    </w:p>
    <w:p w14:paraId="5B53837B">
      <w:pPr>
        <w:spacing w:line="276" w:lineRule="auto"/>
        <w:rPr>
          <w:rFonts w:hint="eastAsia"/>
        </w:rPr>
      </w:pPr>
      <w:r>
        <w:rPr>
          <w:rFonts w:ascii="等线" w:hAnsi="等线" w:eastAsia="等线" w:cs="等线"/>
        </w:rPr>
        <w:t>路由表构建模块从负载均衡分配模块获取最终的分配结果，构建倒排路由表（Inverted Table）。该表记录每个数据点被分配到的所有类簇索引。路由表构建模块将构建完成的倒排路由表存入索引存储模块，供查询处理模块在查询阶段从已访问的数据点反向发现新的待扫描类簇。</w:t>
      </w:r>
    </w:p>
    <w:p w14:paraId="2DE7E884">
      <w:pPr>
        <w:spacing w:line="276" w:lineRule="auto"/>
        <w:rPr>
          <w:rFonts w:hint="eastAsia"/>
        </w:rPr>
      </w:pPr>
      <w:r>
        <w:rPr>
          <w:rFonts w:ascii="等线" w:hAnsi="等线" w:eastAsia="等线" w:cs="等线"/>
        </w:rPr>
        <w:t>（三）在线查询处理流程</w:t>
      </w:r>
    </w:p>
    <w:p w14:paraId="34CFD9D5">
      <w:pPr>
        <w:spacing w:line="276" w:lineRule="auto"/>
        <w:rPr>
          <w:rFonts w:hint="eastAsia"/>
        </w:rPr>
      </w:pPr>
      <w:r>
        <w:rPr>
          <w:rFonts w:ascii="等线" w:hAnsi="等线" w:eastAsia="等线" w:cs="等线"/>
        </w:rPr>
        <w:t>在线查询在系统对外提供检索服务阶段执行，响应来自客户端的实时查询请求。在并发查询场景下，多个查询处理模块实例可并行运行，各自独立处理不同的查询向量。在线查询的目标是在满足召回率约束（如Recall&gt;0.85）的前提下，以最快的速度返回Top-k结果。</w:t>
      </w:r>
    </w:p>
    <w:p w14:paraId="24E49DF7">
      <w:pPr>
        <w:spacing w:line="276" w:lineRule="auto"/>
        <w:rPr>
          <w:rFonts w:hint="eastAsia"/>
        </w:rPr>
      </w:pPr>
      <w:r>
        <w:rPr>
          <w:rFonts w:ascii="等线" w:hAnsi="等线" w:eastAsia="等线" w:cs="等线"/>
        </w:rPr>
        <w:t>阶段Q1：粗定位与探针生成</w:t>
      </w:r>
    </w:p>
    <w:p w14:paraId="718CE18C">
      <w:pPr>
        <w:spacing w:line="276" w:lineRule="auto"/>
        <w:rPr>
          <w:rFonts w:hint="eastAsia"/>
        </w:rPr>
      </w:pPr>
      <w:r>
        <w:rPr>
          <w:rFonts w:ascii="等线" w:hAnsi="等线" w:eastAsia="等线" w:cs="等线"/>
        </w:rPr>
        <w:t>当外部查询请求到达时，查询处理模块接收查询向量q，首先调用探针生成子模块在顶层质心图上执行快速的ANNS搜索，找出nprobe个距离最近的质心作为初始探针（Probes）。同时，查询处理模块中的距离计算准备单元准备查询相关的查找表（LUT），例如使用RaBitQComputer进行查询特定的量化距离计算准备，以加速后续的近似距离估算。</w:t>
      </w:r>
    </w:p>
    <w:p w14:paraId="44B5A960">
      <w:pPr>
        <w:spacing w:line="276" w:lineRule="auto"/>
        <w:rPr>
          <w:rFonts w:hint="eastAsia"/>
        </w:rPr>
      </w:pPr>
      <w:r>
        <w:rPr>
          <w:rFonts w:ascii="等线" w:hAnsi="等线" w:eastAsia="等线" w:cs="等线"/>
        </w:rPr>
        <w:t>阶段Q2：初始候选池召回</w:t>
      </w:r>
    </w:p>
    <w:p w14:paraId="082FA8E9">
      <w:pPr>
        <w:spacing w:line="276" w:lineRule="auto"/>
        <w:rPr>
          <w:rFonts w:hint="eastAsia"/>
        </w:rPr>
      </w:pPr>
      <w:r>
        <w:rPr>
          <w:rFonts w:ascii="等线" w:hAnsi="等线" w:eastAsia="等线" w:cs="等线"/>
        </w:rPr>
        <w:t>查询处理模块中的候选召回子模块从索引存储模块读取初始探针对应的倒排列表。候选召回子模块利用预计算的量化编码（由量化编码模块生成）和查询向量生成的查找表（在阶段Q1中准备）进行极速的近似距离计算，避免了昂贵的浮点数向量解码。所有被扫描到的数据点及其近似距离被放入查询处理模块内部维护的一个大小有限的最大堆（Approximate Pool）中。</w:t>
      </w:r>
    </w:p>
    <w:p w14:paraId="276FAEBD">
      <w:pPr>
        <w:spacing w:line="276" w:lineRule="auto"/>
        <w:rPr>
          <w:rFonts w:hint="eastAsia"/>
        </w:rPr>
      </w:pPr>
      <w:r>
        <w:rPr>
          <w:rFonts w:ascii="等线" w:hAnsi="等线" w:eastAsia="等线" w:cs="等线"/>
        </w:rPr>
        <w:t>阶段Q3：光束形成（Beam Formation）</w:t>
      </w:r>
    </w:p>
    <w:p w14:paraId="028F5611">
      <w:pPr>
        <w:spacing w:line="276" w:lineRule="auto"/>
        <w:rPr>
          <w:rFonts w:hint="eastAsia"/>
        </w:rPr>
      </w:pPr>
      <w:r>
        <w:rPr>
          <w:rFonts w:ascii="等线" w:hAnsi="等线" w:eastAsia="等线" w:cs="等线"/>
        </w:rPr>
        <w:t>查询处理模块中的重排序子模块对初始候选池（Approximate Pool）中的所有独立数据点，计算其与查询向量q的精确距离，并按距离从小到大进行重排序。重排序子模块选取其中最优的b_size个点，构成高质量的初始"光束"（Beam），作为后续迭代扩展的起点。同时，查询处理模块建立并维护一个已访问数据点的哈希集合（visitedPoints），用于避免重复处理同一数据点。</w:t>
      </w:r>
    </w:p>
    <w:p w14:paraId="4FE56FA4">
      <w:pPr>
        <w:spacing w:line="276" w:lineRule="auto"/>
        <w:rPr>
          <w:rFonts w:hint="eastAsia"/>
        </w:rPr>
      </w:pPr>
      <w:r>
        <w:rPr>
          <w:rFonts w:ascii="等线" w:hAnsi="等线" w:eastAsia="等线" w:cs="等线"/>
        </w:rPr>
        <w:t>阶段Q4：基于路由的迭代扩展与精炼</w:t>
      </w:r>
    </w:p>
    <w:p w14:paraId="2FF8B987">
      <w:pPr>
        <w:spacing w:line="276" w:lineRule="auto"/>
        <w:rPr>
          <w:rFonts w:hint="eastAsia"/>
        </w:rPr>
      </w:pPr>
      <w:r>
        <w:rPr>
          <w:rFonts w:ascii="等线" w:hAnsi="等线" w:eastAsia="等线" w:cs="等线"/>
        </w:rPr>
        <w:t>查询处理模块中的迭代扩展子模块从光束（Beam）中不断取出当前最优的未访问节点v。迭代扩展子模块通过查询索引存储模块中的倒排路由表，瞬间获知节点v还被分配在哪些其他的类簇中。这些新发现的类簇往往与查询向量q高度相关，但可能在阶段Q1的粗定位中被遗漏。</w:t>
      </w:r>
    </w:p>
    <w:p w14:paraId="73F23D71">
      <w:pPr>
        <w:spacing w:line="276" w:lineRule="auto"/>
        <w:rPr>
          <w:rFonts w:hint="eastAsia"/>
        </w:rPr>
      </w:pPr>
      <w:r>
        <w:rPr>
          <w:rFonts w:ascii="等线" w:hAnsi="等线" w:eastAsia="等线" w:cs="等线"/>
        </w:rPr>
        <w:t>对于这些新发现的类簇，候选召回子模块重新执行扫描操作：利用近似距离筛选出有竞争力的新数据点，由重排序子模块计算其精确距离，并将满足条件的数据点插入光束进行竞争。这个"从点到簇再到新点"的迭代扩展过程由迭代扩展子模块持续调度执行，直至光束中的节点均被访问或不再有新的高质量候选点加入。</w:t>
      </w:r>
    </w:p>
    <w:p w14:paraId="2F2C0A3E">
      <w:pPr>
        <w:spacing w:line="276" w:lineRule="auto"/>
        <w:rPr>
          <w:rFonts w:hint="eastAsia"/>
        </w:rPr>
      </w:pPr>
      <w:r>
        <w:rPr>
          <w:rFonts w:ascii="等线" w:hAnsi="等线" w:eastAsia="等线" w:cs="等线"/>
        </w:rPr>
        <w:t>最终，查询处理模块从所有经过精确距离计算的候选点中，选出距离查询向量q最近的Top-k个数据点作为最终结果返回给调用方。</w:t>
      </w:r>
    </w:p>
    <w:p w14:paraId="7DF38FD7">
      <w:pPr>
        <w:pStyle w:val="5"/>
        <w:spacing w:line="276" w:lineRule="auto"/>
        <w:rPr>
          <w:rFonts w:hint="eastAsia" w:ascii="等线 Light" w:hAnsi="等线 Light" w:eastAsia="等线 Light" w:cs="等线 Light"/>
          <w:color w:val="auto"/>
          <w:lang w:eastAsia="zh-CN"/>
        </w:rPr>
      </w:pPr>
      <w:r>
        <w:rPr>
          <w:rFonts w:hint="eastAsia" w:ascii="等线 Light" w:hAnsi="等线 Light" w:eastAsia="等线 Light" w:cs="等线 Light"/>
          <w:color w:val="auto"/>
          <w:lang w:eastAsia="zh-CN"/>
        </w:rPr>
        <w:drawing>
          <wp:inline distT="0" distB="0" distL="114300" distR="114300">
            <wp:extent cx="5215890" cy="2310130"/>
            <wp:effectExtent l="0" t="0" r="3810" b="1270"/>
            <wp:docPr id="4" name="图片 4" descr="fig4_iterative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iterative_search"/>
                    <pic:cNvPicPr>
                      <a:picLocks noChangeAspect="1"/>
                    </pic:cNvPicPr>
                  </pic:nvPicPr>
                  <pic:blipFill>
                    <a:blip r:embed="rId9"/>
                    <a:stretch>
                      <a:fillRect/>
                    </a:stretch>
                  </pic:blipFill>
                  <pic:spPr>
                    <a:xfrm>
                      <a:off x="0" y="0"/>
                      <a:ext cx="5215890" cy="2310130"/>
                    </a:xfrm>
                    <a:prstGeom prst="rect">
                      <a:avLst/>
                    </a:prstGeom>
                  </pic:spPr>
                </pic:pic>
              </a:graphicData>
            </a:graphic>
          </wp:inline>
        </w:drawing>
      </w:r>
      <w:bookmarkStart w:id="0" w:name="_GoBack"/>
      <w:bookmarkEnd w:id="0"/>
    </w:p>
    <w:p w14:paraId="3D6B3B5B">
      <w:pPr>
        <w:pStyle w:val="5"/>
        <w:spacing w:line="276" w:lineRule="auto"/>
        <w:rPr>
          <w:rFonts w:hint="eastAsia"/>
          <w:color w:val="auto"/>
        </w:rPr>
      </w:pPr>
      <w:r>
        <w:rPr>
          <w:rFonts w:ascii="等线 Light" w:hAnsi="等线 Light" w:eastAsia="等线 Light" w:cs="等线 Light"/>
          <w:color w:val="auto"/>
        </w:rPr>
        <w:t>4.5.2 本发明实施例二</w:t>
      </w:r>
    </w:p>
    <w:p w14:paraId="55D0E6F4">
      <w:pPr>
        <w:spacing w:line="276" w:lineRule="auto"/>
        <w:rPr>
          <w:rFonts w:hint="eastAsia"/>
        </w:rPr>
      </w:pPr>
      <w:r>
        <w:rPr>
          <w:rFonts w:ascii="等线" w:hAnsi="等线" w:eastAsia="等线" w:cs="等线"/>
        </w:rPr>
        <w:t>实施例二描述了本发明IVFQG索引的一种简化查询实施方式，与实施例一的区别在于省略了倒排路由表的构建和迭代扩展阶段，采用单轮探针扫描加精确重排序的简化查询流程。</w:t>
      </w:r>
    </w:p>
    <w:p w14:paraId="4A38F0C3">
      <w:pPr>
        <w:spacing w:line="276" w:lineRule="auto"/>
        <w:rPr>
          <w:rFonts w:hint="eastAsia"/>
        </w:rPr>
      </w:pPr>
      <w:r>
        <w:rPr>
          <w:rFonts w:ascii="等线" w:hAnsi="等线" w:eastAsia="等线" w:cs="等线"/>
        </w:rPr>
        <w:t>与实施例一的相同之处：</w:t>
      </w:r>
    </w:p>
    <w:p w14:paraId="057945AE">
      <w:pPr>
        <w:spacing w:line="276" w:lineRule="auto"/>
        <w:rPr>
          <w:rFonts w:hint="eastAsia"/>
        </w:rPr>
      </w:pPr>
      <w:r>
        <w:rPr>
          <w:rFonts w:ascii="等线" w:hAnsi="等线" w:eastAsia="等线" w:cs="等线"/>
        </w:rPr>
        <w:t>实施例二的离线索引构建流程与实施例一基本相同，包括质心图构建、图搜索候选生成、并发负载均衡分配和类簇内量化编码四个阶段。实施例二同样采用静态质心图替代K-Means，同样通过BalancedAssign算法实现负载均衡的数据分配。</w:t>
      </w:r>
    </w:p>
    <w:p w14:paraId="1872D9B6">
      <w:pPr>
        <w:spacing w:line="276" w:lineRule="auto"/>
        <w:rPr>
          <w:rFonts w:hint="eastAsia"/>
        </w:rPr>
      </w:pPr>
      <w:r>
        <w:rPr>
          <w:rFonts w:ascii="等线" w:hAnsi="等线" w:eastAsia="等线" w:cs="等线"/>
        </w:rPr>
        <w:t>与实施例一的区别：</w:t>
      </w:r>
    </w:p>
    <w:p w14:paraId="0916E91F">
      <w:pPr>
        <w:pStyle w:val="28"/>
        <w:numPr>
          <w:ilvl w:val="0"/>
          <w:numId w:val="12"/>
        </w:numPr>
        <w:spacing w:line="276" w:lineRule="auto"/>
        <w:rPr>
          <w:rFonts w:hint="eastAsia"/>
        </w:rPr>
      </w:pPr>
      <w:r>
        <w:rPr>
          <w:rFonts w:ascii="等线" w:hAnsi="等线" w:eastAsia="等线" w:cs="等线"/>
        </w:rPr>
        <w:t>省略倒排路由表构建阶段：实施例二完全省略实施例一中的阶段S4（倒排路由表构建），索引结构中仅包含质心图、IVF数据（量化编码结果）和类簇元数据，不维护数据点到类簇的反向映射关系。</w:t>
      </w:r>
    </w:p>
    <w:p w14:paraId="4EFA011C">
      <w:pPr>
        <w:pStyle w:val="28"/>
        <w:numPr>
          <w:ilvl w:val="0"/>
          <w:numId w:val="12"/>
        </w:numPr>
        <w:spacing w:line="276" w:lineRule="auto"/>
        <w:rPr>
          <w:rFonts w:hint="eastAsia"/>
        </w:rPr>
      </w:pPr>
      <w:r>
        <w:rPr>
          <w:rFonts w:ascii="等线" w:hAnsi="等线" w:eastAsia="等线" w:cs="等线"/>
        </w:rPr>
        <w:t>简化查询流程：在线查询时仅执行阶段Q1（粗定位与探针生成）、阶段Q2（初始候选池召回）和阶段Q3（光束形成/精确重排序），不执行阶段Q4的迭代扩展。查询结果直接从重排序后的候选池中取Top-k返回。</w:t>
      </w:r>
    </w:p>
    <w:p w14:paraId="68096783">
      <w:pPr>
        <w:pStyle w:val="28"/>
        <w:numPr>
          <w:ilvl w:val="0"/>
          <w:numId w:val="12"/>
        </w:numPr>
        <w:spacing w:line="276" w:lineRule="auto"/>
        <w:rPr>
          <w:rFonts w:hint="eastAsia"/>
        </w:rPr>
      </w:pPr>
      <w:r>
        <w:rPr>
          <w:rFonts w:ascii="等线" w:hAnsi="等线" w:eastAsia="等线" w:cs="等线"/>
        </w:rPr>
        <w:t>适用场景：该简化实施方式适用于对查询延迟要求极为严格、可接受略低召回率的应用场景，或在硬件资源受限（如内存不足以存储倒排路由表）的边缘设备部署场景。</w:t>
      </w:r>
    </w:p>
    <w:p w14:paraId="4BD4EC59">
      <w:pPr>
        <w:spacing w:line="276" w:lineRule="auto"/>
        <w:rPr>
          <w:rFonts w:hint="eastAsia"/>
        </w:rPr>
      </w:pPr>
      <w:r>
        <w:rPr>
          <w:rFonts w:ascii="等线" w:hAnsi="等线" w:eastAsia="等线" w:cs="等线"/>
        </w:rPr>
        <w:t>该简化方案通过牺牲部分召回率（仍可通过增加nprobe值进行补偿）换取更简洁的系统架构和更低的内存占用，在实施例一的基础上提供了灵活的部署选项。</w:t>
      </w:r>
    </w:p>
    <w:p w14:paraId="427BF16B">
      <w:pPr>
        <w:pStyle w:val="4"/>
        <w:spacing w:line="276" w:lineRule="auto"/>
        <w:rPr>
          <w:rFonts w:hint="eastAsia"/>
          <w:color w:val="auto"/>
        </w:rPr>
      </w:pPr>
      <w:r>
        <w:rPr>
          <w:rFonts w:ascii="等线 Light" w:hAnsi="等线 Light" w:eastAsia="等线 Light" w:cs="等线 Light"/>
          <w:color w:val="auto"/>
        </w:rPr>
        <w:t>4.6 本发明的主要创新点及对应的技术效果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904"/>
        <w:gridCol w:w="1660"/>
        <w:gridCol w:w="1639"/>
        <w:gridCol w:w="1685"/>
      </w:tblGrid>
      <w:tr w14:paraId="4459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27E95C9B">
            <w:pPr>
              <w:rPr>
                <w:rFonts w:hint="eastAsia"/>
              </w:rPr>
            </w:pPr>
            <w:r>
              <w:rPr>
                <w:rFonts w:ascii="等线" w:hAnsi="等线" w:eastAsia="等线" w:cs="等线"/>
              </w:rPr>
              <w:t>序号</w:t>
            </w:r>
          </w:p>
        </w:tc>
        <w:tc>
          <w:tcPr>
            <w:tcW w:w="1661" w:type="dxa"/>
          </w:tcPr>
          <w:p w14:paraId="3E926BC4">
            <w:pPr>
              <w:rPr>
                <w:rFonts w:hint="eastAsia"/>
              </w:rPr>
            </w:pPr>
            <w:r>
              <w:rPr>
                <w:rFonts w:ascii="等线" w:hAnsi="等线" w:eastAsia="等线" w:cs="等线"/>
              </w:rPr>
              <w:t>主要技术创新点</w:t>
            </w:r>
          </w:p>
        </w:tc>
        <w:tc>
          <w:tcPr>
            <w:tcW w:w="1661" w:type="dxa"/>
          </w:tcPr>
          <w:p w14:paraId="123D26A8">
            <w:pPr>
              <w:rPr>
                <w:rFonts w:hint="eastAsia"/>
              </w:rPr>
            </w:pPr>
            <w:r>
              <w:rPr>
                <w:rFonts w:ascii="等线" w:hAnsi="等线" w:eastAsia="等线" w:cs="等线"/>
              </w:rPr>
              <w:t>对应的技术效果</w:t>
            </w:r>
          </w:p>
        </w:tc>
        <w:tc>
          <w:tcPr>
            <w:tcW w:w="1661" w:type="dxa"/>
          </w:tcPr>
          <w:p w14:paraId="4F00B673">
            <w:pPr>
              <w:rPr>
                <w:rFonts w:hint="eastAsia"/>
              </w:rPr>
            </w:pPr>
            <w:r>
              <w:rPr>
                <w:rFonts w:ascii="等线" w:hAnsi="等线" w:eastAsia="等线" w:cs="等线"/>
              </w:rPr>
              <w:t>是否解决前述技术问题</w:t>
            </w:r>
          </w:p>
        </w:tc>
        <w:tc>
          <w:tcPr>
            <w:tcW w:w="1661" w:type="dxa"/>
          </w:tcPr>
          <w:p w14:paraId="69643530">
            <w:pPr>
              <w:rPr>
                <w:rFonts w:hint="eastAsia"/>
              </w:rPr>
            </w:pPr>
            <w:r>
              <w:rPr>
                <w:rFonts w:ascii="等线" w:hAnsi="等线" w:eastAsia="等线" w:cs="等线"/>
              </w:rPr>
              <w:t>必要性</w:t>
            </w:r>
          </w:p>
        </w:tc>
      </w:tr>
      <w:tr w14:paraId="305F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344569A2">
            <w:pPr>
              <w:rPr>
                <w:rFonts w:hint="eastAsia"/>
              </w:rPr>
            </w:pPr>
            <w:r>
              <w:rPr>
                <w:rFonts w:ascii="等线" w:hAnsi="等线" w:eastAsia="等线" w:cs="等线"/>
              </w:rPr>
              <w:t>1</w:t>
            </w:r>
          </w:p>
        </w:tc>
        <w:tc>
          <w:tcPr>
            <w:tcW w:w="1661" w:type="dxa"/>
          </w:tcPr>
          <w:p w14:paraId="65F241F1">
            <w:pPr>
              <w:rPr>
                <w:rFonts w:hint="eastAsia"/>
              </w:rPr>
            </w:pPr>
            <w:r>
              <w:rPr>
                <w:rFonts w:ascii="等线" w:hAnsi="等线" w:eastAsia="等线" w:cs="等线"/>
              </w:rPr>
              <w:t>静态质心图替代K-Means迭代聚类：从全量数据中抽取1%样本作为永久质心，构建导航图替代迭代聚类</w:t>
            </w:r>
          </w:p>
        </w:tc>
        <w:tc>
          <w:tcPr>
            <w:tcW w:w="1661" w:type="dxa"/>
          </w:tcPr>
          <w:p w14:paraId="19D8AF71">
            <w:pPr>
              <w:rPr>
                <w:rFonts w:hint="eastAsia"/>
              </w:rPr>
            </w:pPr>
            <w:r>
              <w:rPr>
                <w:rFonts w:ascii="等线" w:hAnsi="等线" w:eastAsia="等线" w:cs="等线"/>
              </w:rPr>
              <w:t>构建时间复杂度从O(I·N·Nc)降至O(N·log(Nc))，实验表明构建速度提升10到100倍</w:t>
            </w:r>
          </w:p>
        </w:tc>
        <w:tc>
          <w:tcPr>
            <w:tcW w:w="1661" w:type="dxa"/>
          </w:tcPr>
          <w:p w14:paraId="28CF4351">
            <w:pPr>
              <w:rPr>
                <w:rFonts w:hint="eastAsia"/>
              </w:rPr>
            </w:pPr>
            <w:r>
              <w:rPr>
                <w:rFonts w:ascii="等线" w:hAnsi="等线" w:eastAsia="等线" w:cs="等线"/>
              </w:rPr>
              <w:t>是（解决构建时间过长问题）</w:t>
            </w:r>
          </w:p>
        </w:tc>
        <w:tc>
          <w:tcPr>
            <w:tcW w:w="1661" w:type="dxa"/>
          </w:tcPr>
          <w:p w14:paraId="325635EC">
            <w:pPr>
              <w:rPr>
                <w:rFonts w:hint="eastAsia"/>
              </w:rPr>
            </w:pPr>
            <w:r>
              <w:rPr>
                <w:rFonts w:ascii="等线" w:hAnsi="等线" w:eastAsia="等线" w:cs="等线"/>
              </w:rPr>
              <w:t>必须：不采用此方案则无法消除K-Means迭代瓶颈</w:t>
            </w:r>
          </w:p>
        </w:tc>
      </w:tr>
      <w:tr w14:paraId="6539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5529648B">
            <w:pPr>
              <w:rPr>
                <w:rFonts w:hint="eastAsia"/>
              </w:rPr>
            </w:pPr>
            <w:r>
              <w:rPr>
                <w:rFonts w:ascii="等线" w:hAnsi="等线" w:eastAsia="等线" w:cs="等线"/>
              </w:rPr>
              <w:t>2</w:t>
            </w:r>
          </w:p>
        </w:tc>
        <w:tc>
          <w:tcPr>
            <w:tcW w:w="1661" w:type="dxa"/>
          </w:tcPr>
          <w:p w14:paraId="30031ECF">
            <w:pPr>
              <w:rPr>
                <w:rFonts w:hint="eastAsia"/>
              </w:rPr>
            </w:pPr>
            <w:r>
              <w:rPr>
                <w:rFonts w:ascii="等线" w:hAnsi="等线" w:eastAsia="等线" w:cs="等线"/>
              </w:rPr>
              <w:t>并发负载均衡分配算法BalancedAssign：设计带级联驱逐的容量硬约束分配策略，配合细粒度多线程锁</w:t>
            </w:r>
          </w:p>
        </w:tc>
        <w:tc>
          <w:tcPr>
            <w:tcW w:w="1661" w:type="dxa"/>
          </w:tcPr>
          <w:p w14:paraId="02C1BDC6">
            <w:pPr>
              <w:rPr>
                <w:rFonts w:hint="eastAsia"/>
              </w:rPr>
            </w:pPr>
            <w:r>
              <w:rPr>
                <w:rFonts w:ascii="等线" w:hAnsi="等线" w:eastAsia="等线" w:cs="等线"/>
              </w:rPr>
              <w:t>所有类簇规模高度一致，消除长尾效应；提高SIMD寄存器填充率和Cache命中率</w:t>
            </w:r>
          </w:p>
        </w:tc>
        <w:tc>
          <w:tcPr>
            <w:tcW w:w="1661" w:type="dxa"/>
          </w:tcPr>
          <w:p w14:paraId="5D9A0ED9">
            <w:pPr>
              <w:rPr>
                <w:rFonts w:hint="eastAsia"/>
              </w:rPr>
            </w:pPr>
            <w:r>
              <w:rPr>
                <w:rFonts w:ascii="等线" w:hAnsi="等线" w:eastAsia="等线" w:cs="等线"/>
              </w:rPr>
              <w:t>是（解决数据分布不均导致的性能抖动问题）</w:t>
            </w:r>
          </w:p>
        </w:tc>
        <w:tc>
          <w:tcPr>
            <w:tcW w:w="1661" w:type="dxa"/>
          </w:tcPr>
          <w:p w14:paraId="7A388455">
            <w:pPr>
              <w:rPr>
                <w:rFonts w:hint="eastAsia"/>
              </w:rPr>
            </w:pPr>
            <w:r>
              <w:rPr>
                <w:rFonts w:ascii="等线" w:hAnsi="等线" w:eastAsia="等线" w:cs="等线"/>
              </w:rPr>
              <w:t>必须：不采用此方案则无法解决数据分布不均导致的性能问题</w:t>
            </w:r>
          </w:p>
        </w:tc>
      </w:tr>
      <w:tr w14:paraId="15EC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6D8E0F83">
            <w:pPr>
              <w:rPr>
                <w:rFonts w:hint="eastAsia"/>
              </w:rPr>
            </w:pPr>
            <w:r>
              <w:rPr>
                <w:rFonts w:ascii="等线" w:hAnsi="等线" w:eastAsia="等线" w:cs="等线"/>
              </w:rPr>
              <w:t>3</w:t>
            </w:r>
          </w:p>
        </w:tc>
        <w:tc>
          <w:tcPr>
            <w:tcW w:w="1661" w:type="dxa"/>
          </w:tcPr>
          <w:p w14:paraId="7DF61982">
            <w:pPr>
              <w:rPr>
                <w:rFonts w:hint="eastAsia"/>
              </w:rPr>
            </w:pPr>
            <w:r>
              <w:rPr>
                <w:rFonts w:ascii="等线" w:hAnsi="等线" w:eastAsia="等线" w:cs="等线"/>
              </w:rPr>
              <w:t>受控多副本冗余分配：允许数据点被分配到多个最近类簇，通过竞争和补偿机制达到全局最优</w:t>
            </w:r>
          </w:p>
        </w:tc>
        <w:tc>
          <w:tcPr>
            <w:tcW w:w="1661" w:type="dxa"/>
          </w:tcPr>
          <w:p w14:paraId="653D996B">
            <w:pPr>
              <w:rPr>
                <w:rFonts w:hint="eastAsia"/>
              </w:rPr>
            </w:pPr>
            <w:r>
              <w:rPr>
                <w:rFonts w:ascii="等线" w:hAnsi="等线" w:eastAsia="等线" w:cs="等线"/>
              </w:rPr>
              <w:t>在Recall&gt;0.85的硬性约束下，仅需扫描极少数类簇即可满足精度要求，直接推升QPS上限</w:t>
            </w:r>
          </w:p>
        </w:tc>
        <w:tc>
          <w:tcPr>
            <w:tcW w:w="1661" w:type="dxa"/>
          </w:tcPr>
          <w:p w14:paraId="07338E31">
            <w:pPr>
              <w:rPr>
                <w:rFonts w:hint="eastAsia"/>
              </w:rPr>
            </w:pPr>
            <w:r>
              <w:rPr>
                <w:rFonts w:ascii="等线" w:hAnsi="等线" w:eastAsia="等线" w:cs="等线"/>
              </w:rPr>
              <w:t>是（解决精度与速度权衡问题）</w:t>
            </w:r>
          </w:p>
        </w:tc>
        <w:tc>
          <w:tcPr>
            <w:tcW w:w="1661" w:type="dxa"/>
          </w:tcPr>
          <w:p w14:paraId="5FE2ABFD">
            <w:pPr>
              <w:rPr>
                <w:rFonts w:hint="eastAsia"/>
              </w:rPr>
            </w:pPr>
            <w:r>
              <w:rPr>
                <w:rFonts w:ascii="等线" w:hAnsi="等线" w:eastAsia="等线" w:cs="等线"/>
              </w:rPr>
              <w:t>必须：多副本分配是BalancedAssign算法的内在机制，与负载均衡协同实现</w:t>
            </w:r>
          </w:p>
        </w:tc>
      </w:tr>
      <w:tr w14:paraId="178D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14:paraId="4024BEFC">
            <w:pPr>
              <w:rPr>
                <w:rFonts w:hint="eastAsia"/>
              </w:rPr>
            </w:pPr>
            <w:r>
              <w:rPr>
                <w:rFonts w:ascii="等线" w:hAnsi="等线" w:eastAsia="等线" w:cs="等线"/>
              </w:rPr>
              <w:t>4</w:t>
            </w:r>
          </w:p>
        </w:tc>
        <w:tc>
          <w:tcPr>
            <w:tcW w:w="1661" w:type="dxa"/>
          </w:tcPr>
          <w:p w14:paraId="5CBFA6FB">
            <w:pPr>
              <w:rPr>
                <w:rFonts w:hint="eastAsia"/>
              </w:rPr>
            </w:pPr>
            <w:r>
              <w:rPr>
                <w:rFonts w:ascii="等线" w:hAnsi="等线" w:eastAsia="等线" w:cs="等线"/>
              </w:rPr>
              <w:t>迭代扩展路由搜索：结合倒排路由表的Beam Search机制，利用候选点路由信息动态扩展搜索边界</w:t>
            </w:r>
          </w:p>
        </w:tc>
        <w:tc>
          <w:tcPr>
            <w:tcW w:w="1661" w:type="dxa"/>
          </w:tcPr>
          <w:p w14:paraId="3F75D86E">
            <w:pPr>
              <w:rPr>
                <w:rFonts w:hint="eastAsia"/>
              </w:rPr>
            </w:pPr>
            <w:r>
              <w:rPr>
                <w:rFonts w:ascii="等线" w:hAnsi="等线" w:eastAsia="等线" w:cs="等线"/>
              </w:rPr>
              <w:t>以极小的计算代价捕获高密度目标区域，提升召回率的同时控制计算开销</w:t>
            </w:r>
          </w:p>
        </w:tc>
        <w:tc>
          <w:tcPr>
            <w:tcW w:w="1661" w:type="dxa"/>
          </w:tcPr>
          <w:p w14:paraId="26FCC75C">
            <w:pPr>
              <w:rPr>
                <w:rFonts w:hint="eastAsia"/>
              </w:rPr>
            </w:pPr>
            <w:r>
              <w:rPr>
                <w:rFonts w:ascii="等线" w:hAnsi="等线" w:eastAsia="等线" w:cs="等线"/>
              </w:rPr>
              <w:t>是（解决查询性能优化问题）</w:t>
            </w:r>
          </w:p>
        </w:tc>
        <w:tc>
          <w:tcPr>
            <w:tcW w:w="1661" w:type="dxa"/>
          </w:tcPr>
          <w:p w14:paraId="4A78CE44">
            <w:pPr>
              <w:rPr>
                <w:rFonts w:hint="eastAsia"/>
              </w:rPr>
            </w:pPr>
            <w:r>
              <w:rPr>
                <w:rFonts w:ascii="等线" w:hAnsi="等线" w:eastAsia="等线" w:cs="等线"/>
              </w:rPr>
              <w:t>增强：该方案可进一步优化查询性能，但如实施例二所示，不采用此方案仍可在增加探针数量的前提下满足召回率要求</w:t>
            </w:r>
          </w:p>
        </w:tc>
      </w:tr>
    </w:tbl>
    <w:p w14:paraId="3A39772B">
      <w:pPr>
        <w:spacing w:line="276" w:lineRule="auto"/>
        <w:rPr>
          <w:rFonts w:hint="eastAsia"/>
        </w:rPr>
      </w:pPr>
      <w:r>
        <w:rPr>
          <w:rFonts w:ascii="等线" w:hAnsi="等线" w:eastAsia="等线" w:cs="等线"/>
        </w:rPr>
        <w:t>上述技术效果在计算复杂度和硬件执行效率两个维度均实现了本质突破：构建阶段将时间复杂度从与类簇数量的线性关系转化为对数关系；查询阶段通过硬件友好的均匀布局和多副本覆盖，在严格召回率约束下实现了极致的查询吞吐量。</w:t>
      </w:r>
    </w:p>
    <w:p w14:paraId="499D7454">
      <w:pPr>
        <w:pStyle w:val="3"/>
        <w:spacing w:line="276" w:lineRule="auto"/>
        <w:rPr>
          <w:rFonts w:hint="eastAsia"/>
          <w:color w:val="auto"/>
        </w:rPr>
      </w:pPr>
      <w:r>
        <w:rPr>
          <w:rFonts w:ascii="等线 Light" w:hAnsi="等线 Light" w:eastAsia="等线 Light" w:cs="等线 Light"/>
          <w:color w:val="auto"/>
        </w:rPr>
        <w:t>5. 发散思维</w:t>
      </w:r>
    </w:p>
    <w:p w14:paraId="38848DD6">
      <w:pPr>
        <w:spacing w:line="276" w:lineRule="auto"/>
        <w:rPr>
          <w:rFonts w:hint="eastAsia"/>
        </w:rPr>
      </w:pPr>
      <w:r>
        <w:rPr>
          <w:rFonts w:ascii="等线" w:hAnsi="等线" w:eastAsia="等线" w:cs="等线"/>
        </w:rPr>
        <w:t>（一）本技术方案在其他技术领域的应用</w:t>
      </w:r>
    </w:p>
    <w:p w14:paraId="504223FB">
      <w:pPr>
        <w:pStyle w:val="28"/>
        <w:numPr>
          <w:ilvl w:val="0"/>
          <w:numId w:val="13"/>
        </w:numPr>
        <w:spacing w:line="276" w:lineRule="auto"/>
        <w:rPr>
          <w:rFonts w:hint="eastAsia"/>
        </w:rPr>
      </w:pPr>
      <w:r>
        <w:rPr>
          <w:rFonts w:ascii="等线" w:hAnsi="等线" w:eastAsia="等线" w:cs="等线"/>
        </w:rPr>
        <w:t>图像检索与计算机视觉：在亿级图像库中以图搜图场景中，IVFQG架构可用于图像特征向量的快速索引构建和相似图像检索，特别适用于需要频繁更新索引的实时监控或社交媒体场景。</w:t>
      </w:r>
    </w:p>
    <w:p w14:paraId="146B3AD7">
      <w:pPr>
        <w:pStyle w:val="28"/>
        <w:numPr>
          <w:ilvl w:val="0"/>
          <w:numId w:val="13"/>
        </w:numPr>
        <w:spacing w:line="276" w:lineRule="auto"/>
        <w:rPr>
          <w:rFonts w:hint="eastAsia"/>
        </w:rPr>
      </w:pPr>
      <w:r>
        <w:rPr>
          <w:rFonts w:ascii="等线" w:hAnsi="等线" w:eastAsia="等线" w:cs="等线"/>
        </w:rPr>
        <w:t>生物信息学：在基因序列匹配、蛋白质结构检索等场景中，将生物序列编码为高维向量后，可采用IVFQG架构实现大规模生物数据库的快速比对和相似性搜索。</w:t>
      </w:r>
    </w:p>
    <w:p w14:paraId="70BCF7BC">
      <w:pPr>
        <w:pStyle w:val="28"/>
        <w:numPr>
          <w:ilvl w:val="0"/>
          <w:numId w:val="13"/>
        </w:numPr>
        <w:spacing w:line="276" w:lineRule="auto"/>
        <w:rPr>
          <w:rFonts w:hint="eastAsia"/>
        </w:rPr>
      </w:pPr>
      <w:r>
        <w:rPr>
          <w:rFonts w:ascii="等线" w:hAnsi="等线" w:eastAsia="等线" w:cs="等线"/>
        </w:rPr>
        <w:t>药物分子筛选：在药物研发中，将分子结构编码为分子指纹向量，利用IVFQG架构从海量分子库中快速筛选与目标分子结构相似的候选药物，加速药物发现流程。</w:t>
      </w:r>
    </w:p>
    <w:p w14:paraId="1C78D8E4">
      <w:pPr>
        <w:spacing w:line="276" w:lineRule="auto"/>
        <w:rPr>
          <w:rFonts w:hint="eastAsia"/>
        </w:rPr>
      </w:pPr>
      <w:r>
        <w:rPr>
          <w:rFonts w:ascii="等线" w:hAnsi="等线" w:eastAsia="等线" w:cs="等线"/>
        </w:rPr>
        <w:t>（二）他人可能的技术方案变形</w:t>
      </w:r>
    </w:p>
    <w:p w14:paraId="63256463">
      <w:pPr>
        <w:pStyle w:val="28"/>
        <w:numPr>
          <w:ilvl w:val="0"/>
          <w:numId w:val="14"/>
        </w:numPr>
        <w:spacing w:line="276" w:lineRule="auto"/>
        <w:rPr>
          <w:rFonts w:hint="eastAsia"/>
        </w:rPr>
      </w:pPr>
      <w:r>
        <w:rPr>
          <w:rFonts w:ascii="等线" w:hAnsi="等线" w:eastAsia="等线" w:cs="等线"/>
        </w:rPr>
        <w:t>采样比例的调整：他人可能将1%的采样比例调整为0.5%或2%，以在构建速度和质心图质量之间寻求不同的平衡点。</w:t>
      </w:r>
    </w:p>
    <w:p w14:paraId="2C8927B2">
      <w:pPr>
        <w:pStyle w:val="28"/>
        <w:numPr>
          <w:ilvl w:val="0"/>
          <w:numId w:val="14"/>
        </w:numPr>
        <w:spacing w:line="276" w:lineRule="auto"/>
        <w:rPr>
          <w:rFonts w:hint="eastAsia"/>
        </w:rPr>
      </w:pPr>
      <w:r>
        <w:rPr>
          <w:rFonts w:ascii="等线" w:hAnsi="等线" w:eastAsia="等线" w:cs="等线"/>
        </w:rPr>
        <w:t>图构建算法的替换：他人可能使用HNSW、NSG等其他图构建算法替代NNDescent来构建质心图，但核心思路仍是基于采样数据的静态质心策略。</w:t>
      </w:r>
    </w:p>
    <w:p w14:paraId="24C4A990">
      <w:pPr>
        <w:pStyle w:val="28"/>
        <w:numPr>
          <w:ilvl w:val="0"/>
          <w:numId w:val="14"/>
        </w:numPr>
        <w:spacing w:line="276" w:lineRule="auto"/>
        <w:rPr>
          <w:rFonts w:hint="eastAsia"/>
        </w:rPr>
      </w:pPr>
      <w:r>
        <w:rPr>
          <w:rFonts w:ascii="等线" w:hAnsi="等线" w:eastAsia="等线" w:cs="等线"/>
        </w:rPr>
        <w:t>负载因子和副本数的调整：他人可能调整BalancedAssign中的loadFactor和初始重复数d的值，以适应不同的数据分布特征或召回率要求。</w:t>
      </w:r>
    </w:p>
    <w:p w14:paraId="27A9C13F">
      <w:pPr>
        <w:pStyle w:val="28"/>
        <w:numPr>
          <w:ilvl w:val="0"/>
          <w:numId w:val="14"/>
        </w:numPr>
        <w:spacing w:line="276" w:lineRule="auto"/>
        <w:rPr>
          <w:rFonts w:hint="eastAsia"/>
        </w:rPr>
      </w:pPr>
      <w:r>
        <w:rPr>
          <w:rFonts w:ascii="等线" w:hAnsi="等线" w:eastAsia="等线" w:cs="等线"/>
        </w:rPr>
        <w:t>量化方法的替换：他人可能使用PQ（Product Quantization）、SQ（Scalar Quantization）或其他量化方法替代RaBitQ进行类簇内数据编码，但静态质心和负载均衡分配的核心框架保持不变。</w:t>
      </w:r>
    </w:p>
    <w:p w14:paraId="36674FC0">
      <w:pPr>
        <w:pStyle w:val="28"/>
        <w:numPr>
          <w:ilvl w:val="0"/>
          <w:numId w:val="14"/>
        </w:numPr>
        <w:spacing w:line="276" w:lineRule="auto"/>
        <w:rPr>
          <w:rFonts w:hint="eastAsia"/>
        </w:rPr>
      </w:pPr>
      <w:r>
        <w:rPr>
          <w:rFonts w:ascii="等线" w:hAnsi="等线" w:eastAsia="等线" w:cs="等线"/>
        </w:rPr>
        <w:t>搜索策略的简化或扩展：他人可能省略迭代扩展阶段（如实施例二），或增加更多的搜索阶段（如多轮迭代、自适应Beam Size调整），但这些变形均在本发明框架的保护范围内。</w:t>
      </w:r>
    </w:p>
    <w:p w14:paraId="346B45A1">
      <w:pPr>
        <w:pStyle w:val="3"/>
        <w:spacing w:line="276" w:lineRule="auto"/>
        <w:rPr>
          <w:rFonts w:hint="eastAsia"/>
          <w:color w:val="auto"/>
        </w:rPr>
      </w:pPr>
      <w:r>
        <w:rPr>
          <w:rFonts w:ascii="等线 Light" w:hAnsi="等线 Light" w:eastAsia="等线 Light" w:cs="等线 Light"/>
          <w:color w:val="auto"/>
        </w:rPr>
        <w:t>6. 在先公开的现有技术文献信息</w:t>
      </w:r>
    </w:p>
    <w:p w14:paraId="125AF2E7">
      <w:pPr>
        <w:spacing w:line="276" w:lineRule="auto"/>
        <w:rPr>
          <w:rFonts w:hint="eastAsia"/>
        </w:rPr>
      </w:pPr>
      <w:r>
        <w:rPr>
          <w:rFonts w:ascii="等线" w:hAnsi="等线" w:eastAsia="等线" w:cs="等线"/>
        </w:rPr>
        <w:t>1. Jegou et al.，"Product Quantization for Nearest Neighbor Search"，IEEE Transactions on Pattern Analysis and Machine Intelligence (TPAMI)，2011年。该文献公开了基于倒排文件和乘积量化的近似最近邻搜索方法（IVF-PQ）。</w:t>
      </w:r>
    </w:p>
    <w:p w14:paraId="46255159">
      <w:pPr>
        <w:spacing w:line="276" w:lineRule="auto"/>
        <w:rPr>
          <w:rFonts w:hint="eastAsia"/>
        </w:rPr>
      </w:pPr>
      <w:r>
        <w:rPr>
          <w:rFonts w:ascii="等线" w:hAnsi="等线" w:eastAsia="等线" w:cs="等线"/>
        </w:rPr>
        <w:t>2. Malkov and Yashunin，"Efficient and Robust Approximate Nearest Neighbor Search Using Hierarchical Navigable Small World Graphs"，IEEE TPAMI，2018年。该文献公开了基于分层可导航小世界图的ANNS方法（HNSW）。</w:t>
      </w:r>
    </w:p>
    <w:p w14:paraId="20AE9D79">
      <w:pPr>
        <w:spacing w:line="276" w:lineRule="auto"/>
        <w:rPr>
          <w:rFonts w:hint="eastAsia"/>
        </w:rPr>
      </w:pPr>
      <w:r>
        <w:rPr>
          <w:rFonts w:ascii="等线" w:hAnsi="等线" w:eastAsia="等线" w:cs="等线"/>
        </w:rPr>
        <w:t>3. Dong et al.，"Efficient k-nearest neighbor graph construction for generic similarity measures"，Proceedings of the 20th International Conference on World Wide Web (WWW)，2011年。该文献公开了NNDescent近邻图构建算法。</w:t>
      </w:r>
    </w:p>
    <w:p w14:paraId="65DBF223">
      <w:pPr>
        <w:spacing w:line="276" w:lineRule="auto"/>
        <w:rPr>
          <w:rFonts w:hint="eastAsia"/>
        </w:rPr>
      </w:pPr>
      <w:r>
        <w:rPr>
          <w:rFonts w:ascii="等线" w:hAnsi="等线" w:eastAsia="等线" w:cs="等线"/>
        </w:rPr>
        <w:t>4. 已知标准/提案：截至本交底书撰写之日，尚未发现与本发明所述"以静态采样图替代K-Means迭代聚类"、"带级联驱逐的并发负载均衡分配"以及"基于倒排路由表的迭代扩展搜索"直接对应的在先公开标准或提案。</w:t>
      </w:r>
    </w:p>
    <w:p w14:paraId="41E517FC">
      <w:pPr>
        <w:pStyle w:val="3"/>
        <w:spacing w:line="276" w:lineRule="auto"/>
        <w:rPr>
          <w:rFonts w:hint="eastAsia"/>
          <w:color w:val="auto"/>
        </w:rPr>
      </w:pPr>
      <w:r>
        <w:rPr>
          <w:rFonts w:ascii="等线 Light" w:hAnsi="等线 Light" w:eastAsia="等线 Light" w:cs="等线 Light"/>
          <w:color w:val="auto"/>
        </w:rPr>
        <w:t>7. 专利交底书checklist</w:t>
      </w:r>
    </w:p>
    <w:p w14:paraId="0CD5EE46">
      <w:pPr>
        <w:pStyle w:val="28"/>
        <w:spacing w:line="276" w:lineRule="auto"/>
        <w:rPr>
          <w:rFonts w:hint="eastAsia"/>
        </w:rPr>
      </w:pPr>
      <w:r>
        <w:rPr>
          <w:rFonts w:ascii="等线" w:hAnsi="等线" w:eastAsia="等线" w:cs="等线"/>
        </w:rPr>
        <w:t>1. 未检索到影响本发明新颖性/创造性的对比文件</w:t>
      </w:r>
    </w:p>
    <w:p w14:paraId="0622B119">
      <w:pPr>
        <w:pStyle w:val="28"/>
        <w:spacing w:line="276" w:lineRule="auto"/>
        <w:rPr>
          <w:rFonts w:hint="eastAsia"/>
        </w:rPr>
      </w:pPr>
      <w:r>
        <w:rPr>
          <w:rFonts w:ascii="等线" w:hAnsi="等线" w:eastAsia="等线" w:cs="等线"/>
        </w:rPr>
        <w:t>2. 背景技术正确且易于理解</w:t>
      </w:r>
    </w:p>
    <w:p w14:paraId="7BF0D25D">
      <w:pPr>
        <w:pStyle w:val="28"/>
        <w:spacing w:line="276" w:lineRule="auto"/>
        <w:rPr>
          <w:rFonts w:hint="eastAsia"/>
        </w:rPr>
      </w:pPr>
      <w:r>
        <w:rPr>
          <w:rFonts w:ascii="等线" w:hAnsi="等线" w:eastAsia="等线" w:cs="等线"/>
        </w:rPr>
        <w:t>3. 现有技术与本发明相关，描述恰当</w:t>
      </w:r>
    </w:p>
    <w:p w14:paraId="60C32229">
      <w:pPr>
        <w:pStyle w:val="28"/>
        <w:spacing w:line="276" w:lineRule="auto"/>
        <w:rPr>
          <w:rFonts w:hint="eastAsia"/>
        </w:rPr>
      </w:pPr>
      <w:r>
        <w:rPr>
          <w:rFonts w:ascii="等线" w:hAnsi="等线" w:eastAsia="等线" w:cs="等线"/>
        </w:rPr>
        <w:t>4. 本发明具体实施例是清楚、完整、详细的技术方案</w:t>
      </w:r>
    </w:p>
    <w:p w14:paraId="390259C9">
      <w:pPr>
        <w:pStyle w:val="28"/>
        <w:spacing w:line="276" w:lineRule="auto"/>
        <w:rPr>
          <w:rFonts w:hint="eastAsia"/>
        </w:rPr>
      </w:pPr>
      <w:r>
        <w:rPr>
          <w:rFonts w:ascii="等线" w:hAnsi="等线" w:eastAsia="等线" w:cs="等线"/>
        </w:rPr>
        <w:t>5. 方法类发明已描述对应的产品或实际装置</w:t>
      </w:r>
    </w:p>
    <w:p w14:paraId="2A3B3429">
      <w:pPr>
        <w:pStyle w:val="28"/>
        <w:spacing w:line="276" w:lineRule="auto"/>
        <w:rPr>
          <w:rFonts w:hint="eastAsia"/>
        </w:rPr>
      </w:pPr>
      <w:r>
        <w:rPr>
          <w:rFonts w:ascii="等线" w:hAnsi="等线" w:eastAsia="等线" w:cs="等线"/>
        </w:rPr>
        <w:t>6. 技术效果准确、全面</w:t>
      </w:r>
    </w:p>
    <w:p w14:paraId="3C4CCEF4">
      <w:pPr>
        <w:pStyle w:val="28"/>
        <w:spacing w:line="276" w:lineRule="auto"/>
        <w:rPr>
          <w:rFonts w:hint="eastAsia"/>
        </w:rPr>
      </w:pPr>
      <w:r>
        <w:rPr>
          <w:rFonts w:ascii="等线" w:hAnsi="等线" w:eastAsia="等线" w:cs="等线"/>
        </w:rPr>
        <w:t>7. 主要创新点清晰准确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22ED3"/>
    <w:multiLevelType w:val="multilevel"/>
    <w:tmpl w:val="0A022ED3"/>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2B5630"/>
    <w:multiLevelType w:val="multilevel"/>
    <w:tmpl w:val="0A2B563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BA27DD1"/>
    <w:multiLevelType w:val="multilevel"/>
    <w:tmpl w:val="0BA27D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0F8102B7"/>
    <w:multiLevelType w:val="multilevel"/>
    <w:tmpl w:val="0F8102B7"/>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54768B8"/>
    <w:multiLevelType w:val="multilevel"/>
    <w:tmpl w:val="154768B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9C8799D"/>
    <w:multiLevelType w:val="multilevel"/>
    <w:tmpl w:val="39C8799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3DEB26DC"/>
    <w:multiLevelType w:val="multilevel"/>
    <w:tmpl w:val="3DEB26DC"/>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D631921"/>
    <w:multiLevelType w:val="multilevel"/>
    <w:tmpl w:val="4D631921"/>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47A5FAB"/>
    <w:multiLevelType w:val="multilevel"/>
    <w:tmpl w:val="647A5FAB"/>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0B80CAD"/>
    <w:multiLevelType w:val="multilevel"/>
    <w:tmpl w:val="70B80CAD"/>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2777F1E"/>
    <w:multiLevelType w:val="multilevel"/>
    <w:tmpl w:val="72777F1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1">
    <w:nsid w:val="77A8404C"/>
    <w:multiLevelType w:val="multilevel"/>
    <w:tmpl w:val="77A8404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7CF63BFC"/>
    <w:multiLevelType w:val="multilevel"/>
    <w:tmpl w:val="7CF63BFC"/>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7E670205"/>
    <w:multiLevelType w:val="multilevel"/>
    <w:tmpl w:val="7E670205"/>
    <w:lvl w:ilvl="0" w:tentative="0">
      <w:start w:val="1"/>
      <w:numFmt w:val="decimal"/>
      <w:lvlText w:val="%1."/>
      <w:lvlJc w:val="left"/>
      <w:pPr>
        <w:ind w:left="360" w:hanging="360"/>
      </w:pPr>
      <w:rPr>
        <w:rFonts w:hint="default" w:ascii="等线" w:hAnsi="等线" w:eastAsia="等线" w:cs="等线"/>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8"/>
  </w:num>
  <w:num w:numId="3">
    <w:abstractNumId w:val="0"/>
  </w:num>
  <w:num w:numId="4">
    <w:abstractNumId w:val="13"/>
  </w:num>
  <w:num w:numId="5">
    <w:abstractNumId w:val="11"/>
  </w:num>
  <w:num w:numId="6">
    <w:abstractNumId w:val="2"/>
  </w:num>
  <w:num w:numId="7">
    <w:abstractNumId w:val="10"/>
  </w:num>
  <w:num w:numId="8">
    <w:abstractNumId w:val="1"/>
  </w:num>
  <w:num w:numId="9">
    <w:abstractNumId w:val="9"/>
  </w:num>
  <w:num w:numId="10">
    <w:abstractNumId w:val="6"/>
  </w:num>
  <w:num w:numId="11">
    <w:abstractNumId w:val="5"/>
  </w:num>
  <w:num w:numId="12">
    <w:abstractNumId w:val="7"/>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B62"/>
    <w:rsid w:val="001043BA"/>
    <w:rsid w:val="001105BD"/>
    <w:rsid w:val="001F0B88"/>
    <w:rsid w:val="00227D3D"/>
    <w:rsid w:val="002D3B6F"/>
    <w:rsid w:val="00343116"/>
    <w:rsid w:val="003D57E3"/>
    <w:rsid w:val="004D5C99"/>
    <w:rsid w:val="00506778"/>
    <w:rsid w:val="00555B33"/>
    <w:rsid w:val="005B4030"/>
    <w:rsid w:val="00624C21"/>
    <w:rsid w:val="006A09B5"/>
    <w:rsid w:val="006B120D"/>
    <w:rsid w:val="00727259"/>
    <w:rsid w:val="00755FDA"/>
    <w:rsid w:val="007569C6"/>
    <w:rsid w:val="007F658F"/>
    <w:rsid w:val="009046F7"/>
    <w:rsid w:val="00D6200E"/>
    <w:rsid w:val="00E94B62"/>
    <w:rsid w:val="00EA7175"/>
    <w:rsid w:val="00F41B02"/>
    <w:rsid w:val="00FD4DEA"/>
    <w:rsid w:val="45592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5508</Words>
  <Characters>6385</Characters>
  <Lines>397</Lines>
  <Paragraphs>498</Paragraphs>
  <TotalTime>3</TotalTime>
  <ScaleCrop>false</ScaleCrop>
  <LinksUpToDate>false</LinksUpToDate>
  <CharactersWithSpaces>6573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2026-04-19T16:48:00Z</dcterms:created>
  <dc:creator>天一 蒋</dc:creator>
  <cp:lastModifiedBy>SceneryMC</cp:lastModifiedBy>
  <dcterms:modified xsi:type="dcterms:W3CDTF">2026-04-30T04:08:44Z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eyJoZGlkIjoiOWUyNTc4OGQwY2Y5ZjFkNjk2ZDQyODk4OTFhNzM2ZDYiLCJ1c2VySWQiOiIzMTQyMTE1NDgifQ==</vt:lpwstr>
  </property>
  <property fmtid="{D5CDD505-2E9C-101B-9397-08002B2CF9AE}" pid="3" name="KSOProductBuildVer">
    <vt:lpwstr>2052-12.1.0.25860</vt:lpwstr>
  </property>
  <property fmtid="{D5CDD505-2E9C-101B-9397-08002B2CF9AE}" pid="4" name="ICV">
    <vt:lpwstr>3D551DDBD2FC43299CAAC73A1DE0A289_12</vt:lpwstr>
  </property>
</Properties>
</file>