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8xt563ir6i8" w:id="0"/>
      <w:bookmarkEnd w:id="0"/>
      <w:r w:rsidDel="00000000" w:rsidR="00000000" w:rsidRPr="00000000">
        <w:rPr>
          <w:rtl w:val="0"/>
        </w:rPr>
        <w:t xml:space="preserve">Coffee Notes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5klc8yu2pmw8" w:id="1"/>
      <w:bookmarkEnd w:id="1"/>
      <w:r w:rsidDel="00000000" w:rsidR="00000000" w:rsidRPr="00000000">
        <w:rPr>
          <w:rtl w:val="0"/>
        </w:rPr>
        <w:t xml:space="preserve">Based on the Huberman Lab Podcast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90% ingest caffeine daily, 50% of kid (teens and adolescents)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Caffeine is a reinforcer, we will come to like food and drinks with caffine in them more over time. Many foods have caffine (I should check labels)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GLP1 is a molecule in coffee - it is useful for weight loss, mental performance, and reducing blood sugar levels - also reduces hunger - makes the brain and gut feel full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Yerba mate tea (not smoked - carcinogenic) stimulates lots of GLP1 release, blunts appetite.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have white beige and brown fat cells, beige and brown you want, they do not accumulate under the skin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levels of GLP1 helps convert white fat cells into beige and brown cells - raises base metabolic rate, similar to cold exposure.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Caffine has neuro protective effects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