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Georgia" w:cs="Georgia" w:eastAsia="Georgia" w:hAnsi="Georgia"/>
          <w:b/>
          <w:bCs/>
          <w:color w:val="8C4723"/>
          <w:sz w:val="38"/>
          <w:szCs w:val="38"/>
        </w:rPr>
        <w:t xml:space="preserve">CASA LOY TEQUILERA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A1615"/>
          <w:sz w:val="22"/>
          <w:szCs w:val="22"/>
        </w:rPr>
        <w:t xml:space="preserve">GUÍA MAESTRA DE DIMENSIONES: MÓVIL, ESCRITORIO Y RETINA (@2X)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Dimensiones exactas en píxeles y pesos máximos para lograr la máxima nitidez visual con calificación 95+ en PageSpeed</w:t>
      </w:r>
    </w:p>
    <w:p>
      <w:pPr>
        <w:pBdr>
          <w:bottom w:val="single" w:color="8C4723" w:sz="12"/>
        </w:pBdr>
        <w:spacing w:after="200"/>
      </w:pPr>
    </w:p>
    <w:p>
      <w:pPr>
        <w:spacing w:after="50" w:before="50"/>
      </w:pPr>
      <w:r>
        <w:rPr>
          <w:b/>
          <w:bCs/>
          <w:color w:val="8C4723"/>
          <w:sz w:val="20"/>
          <w:szCs w:val="20"/>
        </w:rPr>
        <w:t xml:space="preserve">POR QUÉ USAR 3 DIMENSIONES POR IMAGEN: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1. Vista Móvil (Celulares): </w:t>
      </w:r>
      <w:r>
        <w:t xml:space="preserve">Los teléfonos se usan en posición vertical. Si usas una foto panorámica de escritorio, se verá minúscula o recortada. Las imágenes móviles usan proporción vertical (</w:t>
      </w:r>
      <w:r>
        <w:rPr>
          <w:b/>
          <w:bCs/>
        </w:rPr>
        <w:t xml:space="preserve">9:16 o 4:5</w:t>
      </w:r>
      <w:r>
        <w:t xml:space="preserve">) y pesos ultra ligeros (&lt; 110 KB) para cargar al instante en 4G/5G.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2. Vista Escritorio (PC / Laptops): </w:t>
      </w:r>
      <w:r>
        <w:t xml:space="preserve">Diseñada a escala 1x para pantallas panorámicas estándar (</w:t>
      </w:r>
      <w:r>
        <w:rPr>
          <w:b/>
          <w:bCs/>
        </w:rPr>
        <w:t xml:space="preserve">1920 × 1080 px</w:t>
      </w:r>
      <w:r>
        <w:t xml:space="preserve">), con compresión WebP al 80-82% para mantener la agilidad de navegación.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3. Vista Retina / HiDPI (@2x): </w:t>
      </w:r>
      <w:r>
        <w:t xml:space="preserve">Para dispositivos Apple (MacBook, iPhone, iPad) y monitores 2K/4K que tienen el doble de densidad de píxeles. Se exportan a </w:t>
      </w:r>
      <w:r>
        <w:rPr>
          <w:b/>
          <w:bCs/>
        </w:rPr>
        <w:t xml:space="preserve">2560 × 1440 px</w:t>
      </w:r>
      <w:r>
        <w:t xml:space="preserve"> para evitar cualquier pixelación o borrosidad.</w:t>
      </w:r>
    </w:p>
    <w:p>
      <w:pPr>
        <w:pStyle w:val="Heading2"/>
        <w:spacing w:after="120" w:before="150"/>
      </w:pPr>
      <w:r>
        <w:rPr>
          <w:b/>
          <w:bCs/>
          <w:color w:val="8C4723"/>
          <w:sz w:val="22"/>
          <w:szCs w:val="22"/>
        </w:rPr>
        <w:t xml:space="preserve">TABLA COMPARATIVA DE DIMENSIONES: MÓVIL vs ESCRITORIO vs RETINA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900"/>
        <w:gridCol w:w="1900"/>
        <w:gridCol w:w="10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 de Imagen</w:t>
            </w:r>
          </w:p>
        </w:tc>
        <w:tc>
          <w:tcPr>
            <w:tcW w:type="dxa" w:w="18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Vista Móvil (Celular)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Escritorio (PC/Laptop)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Retina / HiDPI (@2x)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Formato</w:t>
            </w:r>
          </w:p>
        </w:tc>
        <w:tc>
          <w:tcPr>
            <w:tcW w:type="dxa" w:w="12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8C472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Pesos Máx. (M/E/R)</w:t>
            </w:r>
          </w:p>
        </w:tc>
      </w:tr>
      <w:tr>
        <w:tc>
          <w:tcPr>
            <w:tcW w:type="dxa" w:w="2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1. Hero Banners Principales (Full Screen)</w:t>
            </w:r>
          </w:p>
        </w:tc>
        <w:tc>
          <w:tcPr>
            <w:tcW w:type="dxa" w:w="18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6"/>
                <w:szCs w:val="16"/>
              </w:rPr>
              <w:t xml:space="preserve">1080 × 1920 px (9:16 vertical)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1920 × 1080 px (16:9)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D1E"/>
                <w:sz w:val="16"/>
                <w:szCs w:val="16"/>
              </w:rPr>
              <w:t xml:space="preserve">2560 × 1440 px (2K/QHD)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6"/>
                <w:szCs w:val="16"/>
              </w:rPr>
              <w:t xml:space="preserve">WebP</w:t>
            </w:r>
          </w:p>
        </w:tc>
        <w:tc>
          <w:tcPr>
            <w:tcW w:type="dxa" w:w="12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&lt; 110 / 180 / 280 KB</w:t>
            </w:r>
          </w:p>
        </w:tc>
      </w:tr>
      <w:tr>
        <w:tc>
          <w:tcPr>
            <w:tcW w:type="dxa" w:w="2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2. Banners Secundarios / Parallax / CTA</w:t>
            </w:r>
          </w:p>
        </w:tc>
        <w:tc>
          <w:tcPr>
            <w:tcW w:type="dxa" w:w="18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6"/>
                <w:szCs w:val="16"/>
              </w:rPr>
              <w:t xml:space="preserve">800 × 800 px (1:1 cuadrado)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1920 × 600 px (3.2:1)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D1E"/>
                <w:sz w:val="16"/>
                <w:szCs w:val="16"/>
              </w:rPr>
              <w:t xml:space="preserve">2560 × 800 px (3.2:1)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6"/>
                <w:szCs w:val="16"/>
              </w:rPr>
              <w:t xml:space="preserve">WebP</w:t>
            </w:r>
          </w:p>
        </w:tc>
        <w:tc>
          <w:tcPr>
            <w:tcW w:type="dxa" w:w="12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&lt; 70 / 130 / 200 KB</w:t>
            </w:r>
          </w:p>
        </w:tc>
      </w:tr>
      <w:tr>
        <w:tc>
          <w:tcPr>
            <w:tcW w:type="dxa" w:w="2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3. Proceso Tequilero (Tarjetas Horizontales)</w:t>
            </w:r>
          </w:p>
        </w:tc>
        <w:tc>
          <w:tcPr>
            <w:tcW w:type="dxa" w:w="18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6"/>
                <w:szCs w:val="16"/>
              </w:rPr>
              <w:t xml:space="preserve">800 × 600 px (4:3)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1200 × 800 px (3:2)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D1E"/>
                <w:sz w:val="16"/>
                <w:szCs w:val="16"/>
              </w:rPr>
              <w:t xml:space="preserve">1920 × 1280 px (3:2 @2x)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6"/>
                <w:szCs w:val="16"/>
              </w:rPr>
              <w:t xml:space="preserve">WebP</w:t>
            </w:r>
          </w:p>
        </w:tc>
        <w:tc>
          <w:tcPr>
            <w:tcW w:type="dxa" w:w="12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&lt; 75 / 120 / 190 KB</w:t>
            </w:r>
          </w:p>
        </w:tc>
      </w:tr>
      <w:tr>
        <w:tc>
          <w:tcPr>
            <w:tcW w:type="dxa" w:w="2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4. Proceso Tequilero (Tarjetas Verticales)</w:t>
            </w:r>
          </w:p>
        </w:tc>
        <w:tc>
          <w:tcPr>
            <w:tcW w:type="dxa" w:w="18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6"/>
                <w:szCs w:val="16"/>
              </w:rPr>
              <w:t xml:space="preserve">600 × 800 px (3:4)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960 × 1280 px (3:4)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D1E"/>
                <w:sz w:val="16"/>
                <w:szCs w:val="16"/>
              </w:rPr>
              <w:t xml:space="preserve">1440 × 1920 px (3:4 @2x)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6"/>
                <w:szCs w:val="16"/>
              </w:rPr>
              <w:t xml:space="preserve">WebP</w:t>
            </w:r>
          </w:p>
        </w:tc>
        <w:tc>
          <w:tcPr>
            <w:tcW w:type="dxa" w:w="12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&lt; 65 / 110 / 180 KB</w:t>
            </w:r>
          </w:p>
        </w:tc>
      </w:tr>
      <w:tr>
        <w:tc>
          <w:tcPr>
            <w:tcW w:type="dxa" w:w="2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5. Platillos Restaurante 1937 (Menú)</w:t>
            </w:r>
          </w:p>
        </w:tc>
        <w:tc>
          <w:tcPr>
            <w:tcW w:type="dxa" w:w="18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6"/>
                <w:szCs w:val="16"/>
              </w:rPr>
              <w:t xml:space="preserve">800 × 1000 px (4:5)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1080 × 1350 px (4:5)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D1E"/>
                <w:sz w:val="16"/>
                <w:szCs w:val="16"/>
              </w:rPr>
              <w:t xml:space="preserve">1440 × 1800 px (4:5 @2x)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6"/>
                <w:szCs w:val="16"/>
              </w:rPr>
              <w:t xml:space="preserve">WebP</w:t>
            </w:r>
          </w:p>
        </w:tc>
        <w:tc>
          <w:tcPr>
            <w:tcW w:type="dxa" w:w="12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&lt; 75 / 120 / 190 KB</w:t>
            </w:r>
          </w:p>
        </w:tc>
      </w:tr>
      <w:tr>
        <w:tc>
          <w:tcPr>
            <w:tcW w:type="dxa" w:w="2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6. Salones y Terrazas Restaurante</w:t>
            </w:r>
          </w:p>
        </w:tc>
        <w:tc>
          <w:tcPr>
            <w:tcW w:type="dxa" w:w="18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6"/>
                <w:szCs w:val="16"/>
              </w:rPr>
              <w:t xml:space="preserve">1080 × 1080 px (1:1)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1920 × 1080 px (16:9)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D1E"/>
                <w:sz w:val="16"/>
                <w:szCs w:val="16"/>
              </w:rPr>
              <w:t xml:space="preserve">2560 × 1440 px (16:9)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6"/>
                <w:szCs w:val="16"/>
              </w:rPr>
              <w:t xml:space="preserve">WebP</w:t>
            </w:r>
          </w:p>
        </w:tc>
        <w:tc>
          <w:tcPr>
            <w:tcW w:type="dxa" w:w="12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&lt; 90 / 160 / 260 KB</w:t>
            </w:r>
          </w:p>
        </w:tc>
      </w:tr>
      <w:tr>
        <w:tc>
          <w:tcPr>
            <w:tcW w:type="dxa" w:w="2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7. Cavas y Galerías Verticales de Altura</w:t>
            </w:r>
          </w:p>
        </w:tc>
        <w:tc>
          <w:tcPr>
            <w:tcW w:type="dxa" w:w="18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6"/>
                <w:szCs w:val="16"/>
              </w:rPr>
              <w:t xml:space="preserve">800 × 1200 px (2:3)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1200 × 1800 px (2:3)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D1E"/>
                <w:sz w:val="16"/>
                <w:szCs w:val="16"/>
              </w:rPr>
              <w:t xml:space="preserve">1600 × 2400 px (2:3 @2x)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6"/>
                <w:szCs w:val="16"/>
              </w:rPr>
              <w:t xml:space="preserve">WebP</w:t>
            </w:r>
          </w:p>
        </w:tc>
        <w:tc>
          <w:tcPr>
            <w:tcW w:type="dxa" w:w="12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&lt; 95 / 180 / 270 KB</w:t>
            </w:r>
          </w:p>
        </w:tc>
      </w:tr>
      <w:tr>
        <w:tc>
          <w:tcPr>
            <w:tcW w:type="dxa" w:w="2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8. Paquetes de Turismo (Diamante/Platino/Oro)</w:t>
            </w:r>
          </w:p>
        </w:tc>
        <w:tc>
          <w:tcPr>
            <w:tcW w:type="dxa" w:w="18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6"/>
                <w:szCs w:val="16"/>
              </w:rPr>
              <w:t xml:space="preserve">800 × 600 px (4:3)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1200 × 800 px (3:2)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D1E"/>
                <w:sz w:val="16"/>
                <w:szCs w:val="16"/>
              </w:rPr>
              <w:t xml:space="preserve">1920 × 1280 px (3:2 @2x)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6"/>
                <w:szCs w:val="16"/>
              </w:rPr>
              <w:t xml:space="preserve">WebP</w:t>
            </w:r>
          </w:p>
        </w:tc>
        <w:tc>
          <w:tcPr>
            <w:tcW w:type="dxa" w:w="12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&lt; 70 / 110 / 180 KB</w:t>
            </w:r>
          </w:p>
        </w:tc>
      </w:tr>
      <w:tr>
        <w:tc>
          <w:tcPr>
            <w:tcW w:type="dxa" w:w="2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9. Botellas Silueteadas (Fondo Transparente)</w:t>
            </w:r>
          </w:p>
        </w:tc>
        <w:tc>
          <w:tcPr>
            <w:tcW w:type="dxa" w:w="18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6"/>
                <w:szCs w:val="16"/>
              </w:rPr>
              <w:t xml:space="preserve">600 × 900 px (2:3)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1000 × 1500 px (2:3)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D1E"/>
                <w:sz w:val="16"/>
                <w:szCs w:val="16"/>
              </w:rPr>
              <w:t xml:space="preserve">1400 × 2100 px (2:3 @2x)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6"/>
                <w:szCs w:val="16"/>
              </w:rPr>
              <w:t xml:space="preserve">WebP / PNG</w:t>
            </w:r>
          </w:p>
        </w:tc>
        <w:tc>
          <w:tcPr>
            <w:tcW w:type="dxa" w:w="12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&lt; 80 / 180 / 260 KB</w:t>
            </w:r>
          </w:p>
        </w:tc>
      </w:tr>
      <w:tr>
        <w:tc>
          <w:tcPr>
            <w:tcW w:type="dxa" w:w="2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10. Packshot / Bodegón de Botella Cuadrado</w:t>
            </w:r>
          </w:p>
        </w:tc>
        <w:tc>
          <w:tcPr>
            <w:tcW w:type="dxa" w:w="18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6"/>
                <w:szCs w:val="16"/>
              </w:rPr>
              <w:t xml:space="preserve">800 × 800 px (1:1)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1200 × 1200 px (1:1)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D1E"/>
                <w:sz w:val="16"/>
                <w:szCs w:val="16"/>
              </w:rPr>
              <w:t xml:space="preserve">1600 × 1600 px (1:1 @2x)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6"/>
                <w:szCs w:val="16"/>
              </w:rPr>
              <w:t xml:space="preserve">WebP</w:t>
            </w:r>
          </w:p>
        </w:tc>
        <w:tc>
          <w:tcPr>
            <w:tcW w:type="dxa" w:w="12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&lt; 70 / 120 / 190 KB</w:t>
            </w:r>
          </w:p>
        </w:tc>
      </w:tr>
      <w:tr>
        <w:tc>
          <w:tcPr>
            <w:tcW w:type="dxa" w:w="2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11. Línea de Tiempo / Historia (Avatares)</w:t>
            </w:r>
          </w:p>
        </w:tc>
        <w:tc>
          <w:tcPr>
            <w:tcW w:type="dxa" w:w="18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6"/>
                <w:szCs w:val="16"/>
              </w:rPr>
              <w:t xml:space="preserve">200 × 200 px (1:1)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450 × 450 px (1:1)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D1E"/>
                <w:sz w:val="16"/>
                <w:szCs w:val="16"/>
              </w:rPr>
              <w:t xml:space="preserve">600 × 600 px (1:1 @2x)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6"/>
                <w:szCs w:val="16"/>
              </w:rPr>
              <w:t xml:space="preserve">WebP</w:t>
            </w:r>
          </w:p>
        </w:tc>
        <w:tc>
          <w:tcPr>
            <w:tcW w:type="dxa" w:w="12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&lt; 12 / 30 / 45 KB</w:t>
            </w:r>
          </w:p>
        </w:tc>
      </w:tr>
      <w:tr>
        <w:tc>
          <w:tcPr>
            <w:tcW w:type="dxa" w:w="2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12. Logotipos Oficiales y de Marcas</w:t>
            </w:r>
          </w:p>
        </w:tc>
        <w:tc>
          <w:tcPr>
            <w:tcW w:type="dxa" w:w="18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6"/>
                <w:szCs w:val="16"/>
              </w:rPr>
              <w:t xml:space="preserve">SVG (o 200×200 px)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Vectorial SVG (o 600×338)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D1E"/>
                <w:sz w:val="16"/>
                <w:szCs w:val="16"/>
              </w:rPr>
              <w:t xml:space="preserve">Vectorial SVG (Infinito)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6"/>
                <w:szCs w:val="16"/>
              </w:rPr>
              <w:t xml:space="preserve">SVG / WebP</w:t>
            </w:r>
          </w:p>
        </w:tc>
        <w:tc>
          <w:tcPr>
            <w:tcW w:type="dxa" w:w="12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&lt; 15 KB (vectorial)</w:t>
            </w:r>
          </w:p>
        </w:tc>
      </w:tr>
      <w:tr>
        <w:tc>
          <w:tcPr>
            <w:tcW w:type="dxa" w:w="2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13. Portada Hero de Blog / Noticias</w:t>
            </w:r>
          </w:p>
        </w:tc>
        <w:tc>
          <w:tcPr>
            <w:tcW w:type="dxa" w:w="18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6"/>
                <w:szCs w:val="16"/>
              </w:rPr>
              <w:t xml:space="preserve">800 × 450 px (16:9)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1200 × 630 px (1.91:1)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D1E"/>
                <w:sz w:val="16"/>
                <w:szCs w:val="16"/>
              </w:rPr>
              <w:t xml:space="preserve">1600 × 840 px (1.91:1)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6"/>
                <w:szCs w:val="16"/>
              </w:rPr>
              <w:t xml:space="preserve">WebP</w:t>
            </w:r>
          </w:p>
        </w:tc>
        <w:tc>
          <w:tcPr>
            <w:tcW w:type="dxa" w:w="12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&lt; 65 / 110 / 170 KB</w:t>
            </w:r>
          </w:p>
        </w:tc>
      </w:tr>
      <w:tr>
        <w:tc>
          <w:tcPr>
            <w:tcW w:type="dxa" w:w="2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14. Redes Sociales / WhatsApp (Open Graph)</w:t>
            </w:r>
          </w:p>
        </w:tc>
        <w:tc>
          <w:tcPr>
            <w:tcW w:type="dxa" w:w="18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6"/>
                <w:szCs w:val="16"/>
              </w:rPr>
              <w:t xml:space="preserve">1200 × 630 px (Universal)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1200 × 630 px (Universal)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D1E"/>
                <w:sz w:val="16"/>
                <w:szCs w:val="16"/>
              </w:rPr>
              <w:t xml:space="preserve">1200 × 630 px (Área 1080×566)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6"/>
                <w:szCs w:val="16"/>
              </w:rPr>
              <w:t xml:space="preserve">JPG / WebP</w:t>
            </w:r>
          </w:p>
        </w:tc>
        <w:tc>
          <w:tcPr>
            <w:tcW w:type="dxa" w:w="12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BF9F5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&lt; 250 KB (Meta Tag)</w:t>
            </w:r>
          </w:p>
        </w:tc>
      </w:tr>
      <w:tr>
        <w:tc>
          <w:tcPr>
            <w:tcW w:type="dxa" w:w="24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15. Favicon y Accesos Móviles (PWA / iOS)</w:t>
            </w:r>
          </w:p>
        </w:tc>
        <w:tc>
          <w:tcPr>
            <w:tcW w:type="dxa" w:w="18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C4723"/>
                <w:sz w:val="16"/>
                <w:szCs w:val="16"/>
              </w:rPr>
              <w:t xml:space="preserve">180 × 180 px (Apple Icon)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615"/>
                <w:sz w:val="16"/>
                <w:szCs w:val="16"/>
              </w:rPr>
              <w:t xml:space="preserve">Vectorial (SVG) + 32×32 (ICO)</w:t>
            </w:r>
          </w:p>
        </w:tc>
        <w:tc>
          <w:tcPr>
            <w:tcW w:type="dxa" w:w="19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D1E"/>
                <w:sz w:val="16"/>
                <w:szCs w:val="16"/>
              </w:rPr>
              <w:t xml:space="preserve">512 × 512 px (PWA HD)</w:t>
            </w:r>
          </w:p>
        </w:tc>
        <w:tc>
          <w:tcPr>
            <w:tcW w:type="dxa" w:w="10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615"/>
                <w:sz w:val="16"/>
                <w:szCs w:val="16"/>
              </w:rPr>
              <w:t xml:space="preserve">SVG / PNG</w:t>
            </w:r>
          </w:p>
        </w:tc>
        <w:tc>
          <w:tcPr>
            <w:tcW w:type="dxa" w:w="1200"/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&lt; 8 KB / &lt; 35 KB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8C4723"/>
          <w:sz w:val="20"/>
          <w:szCs w:val="20"/>
        </w:rPr>
        <w:t xml:space="preserve">CÓMO SE IMPLEMENTA EN CÓDIGO CON LA ETIQUETA &lt;picture&gt;</w:t>
      </w:r>
    </w:p>
    <w:p>
      <w:pPr>
        <w:spacing w:after="100"/>
      </w:pPr>
      <w:r>
        <w:rPr>
          <w:color w:val="555555"/>
          <w:sz w:val="18"/>
          <w:szCs w:val="18"/>
        </w:rPr>
        <w:t xml:space="preserve">El navegador selecciona automáticamente el archivo ideal según la pantalla del visitante sin desperdiciar datos móviles: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3CCC0" w:sz="6"/>
              <w:left w:val="single" w:color="D3CCC0" w:sz="6"/>
              <w:bottom w:val="single" w:color="D3CCC0" w:sz="6"/>
              <w:right w:val="single" w:color="D3CCC0" w:sz="6"/>
            </w:tcBorders>
            <w:shd w:fill="F5F5F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22222"/>
                <w:sz w:val="16"/>
                <w:szCs w:val="16"/>
              </w:rPr>
              <w:t xml:space="preserve">&lt;picture&gt;
  &lt;!-- 1. MÓVIL: Celulares verticales (descarga solo ~100 KB) --&gt;
  &lt;source media="(max-width: 768px)" srcset="/Casa Loy Tequilera-movil.webp" /&gt;
  &lt;!-- 2. RETINA: Pantallas 2K/4K / MacBook con densidad @2x --&gt;
  &lt;source 
    media="(min-width: 1024px) and (-webkit-min-device-pixel-ratio: 2), (min-width: 1024px) and (min-resolution: 192dpi)"
    srcset="/Casa Loy Tequilera-retina.webp"
  /&gt;
  &lt;!-- 3. ESCRITORIO: Monitores estándar 1080p (fallback universal) --&gt;
  &lt;img 
    src="/Casa Loy Tequilera-escritorio.webp"
    alt="Destilería Casa Loy Tequilera"
    width="1920" height="1080"
    fetchpriority="high"
    class="w-full h-full object-cover"
  /&gt;
&lt;/picture&gt;</w:t>
            </w:r>
          </w:p>
        </w:tc>
      </w:tr>
    </w:tbl>
    <w:p>
      <w:pPr>
        <w:pBdr>
          <w:top w:val="single" w:color="D3CCC0" w:sz="6"/>
        </w:pBdr>
        <w:spacing w:after="100" w:before="300"/>
        <w:jc w:val="center"/>
      </w:pPr>
      <w:r>
        <w:rPr>
          <w:i/>
          <w:iCs/>
          <w:color w:val="555555"/>
          <w:sz w:val="16"/>
          <w:szCs w:val="16"/>
        </w:rPr>
        <w:t xml:space="preserve">Casa Loy Tequilera  •  NOM 1633  •  Ayotlán, Jalisco  •  Guía de Arquitectura Visual Web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5"/>
        <w:szCs w:val="15"/>
      </w:rPr>
      <w:t xml:space="preserve">Casa Loy Tequilera — Manual Técnico de Optimización Web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C4723"/>
        <w:sz w:val="15"/>
        <w:szCs w:val="15"/>
      </w:rPr>
      <w:t xml:space="preserve">CASA LOY TEQUILERA  |  DIMENSIONES MÓVIL, ESCRITORIO Y RETINA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6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2026-09-05T16:49:49.517Z</dcterms:created>
  <dcterms:modified xsi:type="dcterms:W3CDTF">2026-09-05T16:49:49.517Z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