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Evidence Extracts</w:t>
      </w:r>
    </w:p>
    <w:p>
      <w:r>
        <w:t xml:space="preserve">*(Portfolio item — raw extracts from the real project, so the claims in the Progress</w:t>
      </w:r>
    </w:p>
    <w:p>
      <w:r>
        <w:t xml:space="preserve">Checks can be checked against primary evidence rather than taken on trust. All quotes</w:t>
      </w:r>
    </w:p>
    <w:p>
      <w:r>
        <w:t xml:space="preserve">are verbatim from the Kobald working copy.)*</w:t>
      </w:r>
    </w:p>
    <w:p>
      <w:pPr>
        <w:pStyle w:val="Heading2"/>
      </w:pPr>
      <w:r>
        <w:t xml:space="preserve">1. Commit log (process evidence)</w:t>
      </w:r>
    </w:p>
    <w:p>
      <w:r>
        <w:t xml:space="preserve">From `git log --date=short --pretty='%ad %h %s'` — 106+ commits since 2026-07-08,</w:t>
      </w:r>
    </w:p>
    <w:p>
      <w:r>
        <w:t xml:space="preserve">each phase closed with a fix commit:</w:t>
      </w:r>
    </w:p>
    <w:p>
      <w:r>
        <w:t xml:space="preserve">```</w:t>
      </w:r>
    </w:p>
    <w:p>
      <w:r>
        <w:t xml:space="preserve">2026-08-03 41fcbe5 Phase 4 audit fix [2/5]: cross-validation rejects dead/contradictory bindings</w:t>
      </w:r>
    </w:p>
    <w:p>
      <w:r>
        <w:t xml:space="preserve">2026-08-03 7796784 Phase 4 audit fix [1/5]: close CRITICAL route() privacy/consent bypass</w:t>
      </w:r>
    </w:p>
    <w:p>
      <w:r>
        <w:t xml:space="preserve">2026-08-03 8962217 Phase 4 Step 9 — runtime approved-fallback chain on provider errors</w:t>
      </w:r>
    </w:p>
    <w:p>
      <w:r>
        <w:t xml:space="preserve">2026-08-03 4ba3fe9 Phase 4 Step 6: ModelRegistry + models.yaml + /api/v1/models + cross-validation</w:t>
      </w:r>
    </w:p>
    <w:p>
      <w:r>
        <w:t xml:space="preserve">```</w:t>
      </w:r>
    </w:p>
    <w:p>
      <w:r>
        <w:t xml:space="preserve">This is where PA2's "numbered phases of small, dated commits" claim comes from — any</w:t>
      </w:r>
    </w:p>
    <w:p>
      <w:r>
        <w:t xml:space="preserve">date in either Progress Check can be traced to a commit like these.</w:t>
      </w:r>
    </w:p>
    <w:p>
      <w:pPr>
        <w:pStyle w:val="Heading2"/>
      </w:pPr>
      <w:r>
        <w:t xml:space="preserve">2. Security review table (source of the audit finding counts)</w:t>
      </w:r>
    </w:p>
    <w:p>
      <w:r>
        <w:t xml:space="preserve">The adversarial review is recorded in</w:t>
      </w:r>
    </w:p>
    <w:p>
      <w:r>
        <w:t xml:space="preserve">`services/jarvis-core/CANONICAL-ARCHITECTURE-PLAN.md` as a requirement-by-requirement</w:t>
      </w:r>
    </w:p>
    <w:p>
      <w:r>
        <w:t xml:space="preserve">table with a verdict per row. Verbatim rows:</w:t>
      </w:r>
    </w:p>
    <w:p>
      <w:r>
        <w:t xml:space="preserve">```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Bounded persistence ...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[~]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Continue-on-failure present (1855-1872), exact blocker set (1499-1771);</w:t>
            </w:r>
          </w:p>
        </w:tc>
      </w:tr>
    </w:tbl>
    <w:p>
      <w:r>
        <w:t xml:space="preserve">  no failure-classification taxonomy or programmatic temporary-retry-with-backoff |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High-water rollback detection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[x]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state_seal.py:226-354; gen CAS agent_state.py:839-846;</w:t>
            </w:r>
          </w:p>
        </w:tc>
      </w:tr>
    </w:tbl>
    <w:p>
      <w:r>
        <w:t xml:space="preserve">  documented attacker-can-replace-highwater gap (state_seal.py:18-23) |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Bounded retrieval + access controls + audited updates + high-impact review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[~]</w:t>
            </w:r>
          </w:p>
        </w:tc>
      </w:tr>
    </w:tbl>
    <w:p>
      <w:r>
        <w:t xml:space="preserve">  Keyword-bounded; WARDEN + actor validation; no per-item count cap in code, no RBAC/ACL, no size cap |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Detect unavailable/unhealthy models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[~]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Consecutive-provider-error count → FAIL (1532-1571);</w:t>
            </w:r>
          </w:p>
        </w:tc>
      </w:tr>
    </w:tbl>
    <w:p>
      <w:r>
        <w:t xml:space="preserve">  cloud check_availability gated by allow_metadata_requests default False → cloud always reports healthy:0 |</w:t>
      </w:r>
    </w:p>
    <w:p>
      <w:r>
        <w:t xml:space="preserve">```</w:t>
      </w:r>
    </w:p>
    <w:p>
      <w:r>
        <w:t xml:space="preserve">This is what the "[x]/[~]/[ ]" verdicts behind the *1 critical / 6 high / 16 medium /</w:t>
      </w:r>
    </w:p>
    <w:p>
      <w:r>
        <w:t xml:space="preserve">21 low* finding counts look like in the source: every verdict carries a file and line</w:t>
      </w:r>
    </w:p>
    <w:p>
      <w:r>
        <w:t xml:space="preserve">reference, and the "[~]" rows are the documented residuals that were deliberately not</w:t>
      </w:r>
    </w:p>
    <w:p>
      <w:r>
        <w:t xml:space="preserve">all fixed at once (PA3, Progress Check One).</w:t>
      </w:r>
    </w:p>
    <w:p>
      <w:pPr>
        <w:pStyle w:val="Heading2"/>
      </w:pPr>
      <w:r>
        <w:t xml:space="preserve">3. Runtime audit trail (live evidence of the approval gate)</w:t>
      </w:r>
    </w:p>
    <w:p>
      <w:r>
        <w:t xml:space="preserve">`services/jarvis-core/&lt;kobald-root&gt;/audit/kobald-audit.jsonl` — 177 append-only events,</w:t>
      </w:r>
    </w:p>
    <w:p>
      <w:r>
        <w:t xml:space="preserve">including every Knowledge Vault creation with its content hash and unreviewed status:</w:t>
      </w:r>
    </w:p>
    <w:p>
      <w:r>
        <w:t xml:space="preserve">```</w:t>
      </w:r>
    </w:p>
    <w:p>
      <w:r>
        <w:t xml:space="preserve">{"event_type":"vault.knowledge.created","created_at":"2026-08-11T03:36:06.037597+00:00",</w:t>
      </w:r>
    </w:p>
    <w:p>
      <w:r>
        <w:t xml:space="preserve"> "data":{"record_id":"nist-ai-600-1-genai-profile","status":"unreviewed",</w:t>
      </w:r>
    </w:p>
    <w:p>
      <w:r>
        <w:t xml:space="preserve">         "title":"NIST AI 600-1 Generative AI Profile Overview"}}</w:t>
      </w:r>
    </w:p>
    <w:p>
      <w:r>
        <w:t xml:space="preserve">```</w:t>
      </w:r>
    </w:p>
    <w:p>
      <w:r>
        <w:t xml:space="preserve">This is the structural trustworthiness judgement from PA3 in action: records enter as</w:t>
      </w:r>
    </w:p>
    <w:p>
      <w:r>
        <w:rPr>
          <w:i/>
        </w:rPr>
        <w:t xml:space="preserve">unreviewed</w:t>
      </w:r>
      <w:r>
        <w:t xml:space="preserve"> and the event is hashed and logged the moment they do.</w:t>
      </w:r>
    </w:p>
    <w:p>
      <w:pPr>
        <w:pStyle w:val="Heading2"/>
      </w:pPr>
      <w:r>
        <w:t xml:space="preserve">4. Deployment record</w:t>
      </w:r>
    </w:p>
    <w:p>
      <w:r>
        <w:t xml:space="preserve">`docs/kobald/DEPLOY.md` is headed </w:t>
      </w:r>
      <w:r>
        <w:rPr>
          <w:i/>
        </w:rPr>
        <w:t xml:space="preserve">"Deployed state (jarmedia, 2026-07-25)"</w:t>
      </w:r>
      <w:r>
        <w:t xml:space="preserve"> — the date</w:t>
      </w:r>
    </w:p>
    <w:p>
      <w:r>
        <w:t xml:space="preserve">the two-host deployment (control plane + isolated worker VM) went live, which fixes the</w:t>
      </w:r>
    </w:p>
    <w:p>
      <w:r>
        <w:t xml:space="preserve">"running live since late July" claim in the reflection sheet.</w:t>
      </w:r>
    </w:p>
    <w:p>
      <w:pPr>
        <w:pStyle w:val="Heading2"/>
      </w:pPr>
      <w:r>
        <w:t xml:space="preserve">5. Test suite</w:t>
      </w:r>
    </w:p>
    <w:p>
      <w:r>
        <w:t xml:space="preserve">`services/jarvis-core/tests/` contains 118 test files (≈2,100 tests across the project,</w:t>
      </w:r>
    </w:p>
    <w:p>
      <w:r>
        <w:t xml:space="preserve">122 files including integration tests) — the basis of the "every guarantee is pinned by</w:t>
      </w:r>
    </w:p>
    <w:p>
      <w:r>
        <w:t xml:space="preserve">a test" strategy in `strategy-tracking.md`.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sz w:val="40"/>
      <w:szCs w:val="40"/>
    </w:rPr>
  </w:style>
  <w:style w:type="paragraph" w:styleId="Heading2">
    <w:name w:val="heading 2"/>
    <w:basedOn w:val="Normal"/>
    <w:pPr>
      <w:keepNext/>
      <w:spacing w:before="240" w:after="120"/>
    </w:pPr>
    <w:rPr>
      <w:b/>
      <w:sz w:val="28"/>
      <w:szCs w:val="28"/>
    </w:rPr>
  </w:style>
  <w:style w:type="paragraph" w:styleId="Heading3">
    <w:name w:val="heading 3"/>
    <w:basedOn w:val="Normal"/>
    <w:pPr>
      <w:keepNext/>
      <w:spacing w:before="200" w:after="100"/>
    </w:pPr>
    <w:rPr>
      <w:b/>
      <w:sz w:val="24"/>
      <w:szCs w:val="24"/>
    </w:rPr>
  </w:style>
  <w:style w:type="paragraph" w:styleId="Quote">
    <w:name w:val="Quote"/>
    <w:basedOn w:val="Normal"/>
    <w:rPr>
      <w:i/>
      <w:color w:val="444444"/>
    </w:rPr>
  </w:style>
  <w:style w:type="table" w:styleId="TableGrid">
    <w:name w:val="Table Grid"/>
    <w:tblPr>
      <w:tblBorders>
        <w:top w:val="single" w:sz="4" w:color="999999"/>
        <w:left w:val="single" w:sz="4" w:color="999999"/>
        <w:bottom w:val="single" w:sz="4" w:color="999999"/>
        <w:right w:val="single" w:sz="4" w:color="999999"/>
        <w:insideH w:val="single" w:sz="4" w:color="999999"/>
        <w:insideV w:val="single" w:sz="4" w:color="999999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