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Sources List</w:t>
      </w:r>
    </w:p>
    <w:p>
      <w:r>
        <w:t xml:space="preserve">*(Portfolio item — per the teacher's advice these are recorded as links, not formal citations.</w:t>
      </w:r>
    </w:p>
    <w:p>
      <w:r>
        <w:t xml:space="preserve">Each entry notes what I gained and how it influenced the next step.)*</w:t>
      </w:r>
    </w:p>
    <w:p>
      <w:pPr>
        <w:pStyle w:val="Heading2"/>
      </w:pPr>
      <w:r>
        <w:t xml:space="preserve">Primary project / output evidence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Source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What I gained → how it influenced my next step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`https://github.com/CL-BAF/Kobald` — my project repository (106+ dated commits, 2026-07-08 → 2026-08-03, plus current work)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commit log *is* my process evidence → every Progress Check claim is anchored to a dated commit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2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`https://github.com/CL-BAF/AIF-PROJECT` — this portfolio repository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Portfolio reorganised around the criteria codes (E1–E3, PA1–PA3, A2)</w:t>
            </w:r>
          </w:p>
        </w:tc>
      </w:tr>
    </w:tbl>
    <w:p>
      <w:pPr>
        <w:pStyle w:val="Heading2"/>
      </w:pPr>
      <w:r>
        <w:t xml:space="preserve">Authoritative security data (ingested live into the Knowledge Vault, 2026-08-15; with the static seed and after dedup and claim caps the vault grew 12 → 323 records)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Source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What I gained → how it influenced my next step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3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CISA Known Exploited Vulnerabilities (KEV) catalogue — `https://www.cisa.gov/known-exploited-vulnerabilities-catalogue`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50 real, current exploitation records → proved the ingestion pipeline works on messy real-world data (claim-length caps had to be fixed in the parser)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4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MITRE ATT&amp;CK Enterprise knowledge base — `https://attack.mitre.org/` (STIX bundle)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81 tactic/technique records including sub-techniques → exposed the dotted-identifier bug (T1564.008) and taught me to read a data schema before ingesting it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5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NVD CVE feed — `https://services.nvd.nist.gov/`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50 vulnerability records → confirmed currency/reliability judgment: records enter as *unreviewed*, never auto-trusted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6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GitHub Security Advisories (GHSA) — `https://api.github.com/`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50 advisories → completed the four-feed test of the fetcher's SSRF/DNS-rebinding protections</w:t>
            </w:r>
          </w:p>
        </w:tc>
      </w:tr>
    </w:tbl>
    <w:p>
      <w:pPr>
        <w:pStyle w:val="Heading2"/>
      </w:pPr>
      <w:r>
        <w:t xml:space="preserve">Technical documentation (primary sources for design decisions)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Source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What I gained → how it influenced my next step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7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Python standard library documentation (3.13) — `https://docs.python.org/3/`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What the stdlib already provides (sockets, HMAC, urllib, unittest) → justified the stdlib-only core design; where docs describe happy paths I cross-checked the source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8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Starlette documentation — `https://www.starlette.io/`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Route/middleware model for the HTTP control plane → 97 explicitly declared routes instead of decorator magic, so the surface is auditable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9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systemd manual pages — `https://www.freedesktop.org/software/systemd/man/`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Service hardening flags (NoNewPrivileges, ProtectSystem=strict, RestrictAddressFamilies) → both live services hardened directly from the manual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10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Tailscale documentation — `https://tailscale.com/kb`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Private encrypted networking between my machines → replaced any public exposure of the control plane; the only unauthenticated route is a health check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11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Mullvad VPN — `https://mullvad.net/help`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Kill-switch networking for the isolated worker VM → state-changing actions execute only inside a disposable VM with no direct internet identity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12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Ollama documentation — `https://ollama.com` / `https://github.com/ollama/ollama`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Local model hosting → cloud models are now consent-gated (two independent gates) after reading how cloud calls transmit data</w:t>
            </w:r>
          </w:p>
        </w:tc>
      </w:tr>
    </w:tbl>
    <w:p>
      <w:pPr>
        <w:pStyle w:val="Heading2"/>
      </w:pPr>
      <w:r>
        <w:t xml:space="preserve">Assessment and course documents (teacher-provided)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Source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What I gained → how it influenced my next step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13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Simplified Performance Standards Rubric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A-band verbs (*discerning*, *synthesises*, *related impact*) → I now judge sources on criteria instead of naming them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14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AT2 Progress Check Combined sheet (task outline, success criteria, word budgets)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exact section structure and the "success criteria checklist" → drafted both checks to per-section word budgets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15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"AIF STUFF FOR LKOBALD" lesson notes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"The output is not an assessment; it informs the assessment. EVERYTHING goes in the portfolio" → rebuilt the portfolio around the teacher's tables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16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Strategy Tracking + Reflection Sheet templates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structure for my own filled versions in this repo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17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Selecting and Using Perspectives handout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The distinction between perspectives (before decisions) and feedback (after) → restructured `feedback-and-perspectives.md` around it</w:t>
            </w:r>
          </w:p>
        </w:tc>
      </w:tr>
    </w:tbl>
    <w:p>
      <w:pPr>
        <w:pStyle w:val="Heading2"/>
      </w:pPr>
      <w:r>
        <w:t xml:space="preserve">Community / social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</w:tblP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#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Source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rPr>
                <w:b/>
              </w:rPr>
              <w:t xml:space="preserve">What I gained → how it influenced my next step</w:t>
            </w:r>
          </w:p>
        </w:tc>
      </w:tr>
      <w:tr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18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GitHub project pages and issue trackers for the open-source tools I depend on (Starlette, uvicorn, Ollama)</w:t>
            </w:r>
          </w:p>
        </w:tc>
        <w:tc>
          <w:tcPr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r>
              <w:t xml:space="preserve">Real-world failure modes and upgrade notes → informed my decision to pin versions and keep the core importable without any of them</w:t>
            </w:r>
          </w:p>
        </w:tc>
      </w:tr>
    </w:tbl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240"/>
    </w:pPr>
    <w:rPr>
      <w:b/>
      <w:sz w:val="40"/>
      <w:szCs w:val="40"/>
    </w:rPr>
  </w:style>
  <w:style w:type="paragraph" w:styleId="Heading2">
    <w:name w:val="heading 2"/>
    <w:basedOn w:val="Normal"/>
    <w:pPr>
      <w:keepNext/>
      <w:spacing w:before="240" w:after="120"/>
    </w:pPr>
    <w:rPr>
      <w:b/>
      <w:sz w:val="28"/>
      <w:szCs w:val="28"/>
    </w:rPr>
  </w:style>
  <w:style w:type="paragraph" w:styleId="Heading3">
    <w:name w:val="heading 3"/>
    <w:basedOn w:val="Normal"/>
    <w:pPr>
      <w:keepNext/>
      <w:spacing w:before="200" w:after="100"/>
    </w:pPr>
    <w:rPr>
      <w:b/>
      <w:sz w:val="24"/>
      <w:szCs w:val="24"/>
    </w:rPr>
  </w:style>
  <w:style w:type="paragraph" w:styleId="Quote">
    <w:name w:val="Quote"/>
    <w:basedOn w:val="Normal"/>
    <w:rPr>
      <w:i/>
      <w:color w:val="444444"/>
    </w:rPr>
  </w:style>
  <w:style w:type="table" w:styleId="TableGrid">
    <w:name w:val="Table Grid"/>
    <w:tblPr>
      <w:tblBorders>
        <w:top w:val="single" w:sz="4" w:color="999999"/>
        <w:left w:val="single" w:sz="4" w:color="999999"/>
        <w:bottom w:val="single" w:sz="4" w:color="999999"/>
        <w:right w:val="single" w:sz="4" w:color="999999"/>
        <w:insideH w:val="single" w:sz="4" w:color="999999"/>
        <w:insideV w:val="single" w:sz="4" w:color="999999"/>
      </w:tblBorders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