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Strategy Tracking</w:t>
      </w:r>
    </w:p>
    <w:p>
      <w:r>
        <w:t xml:space="preserve">*(Portfolio item — the teacher's Strategy Tracking table, filled from the real project log.</w:t>
      </w:r>
    </w:p>
    <w:p>
      <w:r>
        <w:t xml:space="preserve">Supports E2; evidence base for PA2/A2 in both Progress Checks.)*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Strategy used + brief description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Why I chose this strategy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Rating of effectiveness (1-5)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Evidence of effectiveness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Where does this lead me? Where to next?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**AIF timetable** — placed my to-do list on a calendar with due dates (see `learning-goal-and-plan.md`)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Allowed me to visualise what I need to do and when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Milestones landed in date order (07-08 foundation → 07-31 policy layer → 08-03 multi-agent spine); the two busiest days were batching of pre-planned small steps, not cramming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Keep the deadline table updated weekly; add the PC2 date once the teacher confirms it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**Numbered-phase plan with small dated commits** — every change lands as its own commit ("Phase 3 Step 5: …"), so progress is measurable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 bad week cannot erase a good one; each commit is a rollback point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106+ dated commits since 2026-07-08; each phase closed with a fix commit; I can point my teacher at any exact date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Continue for the OSINT subsystem; commit the current untracked work in slices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**Adversarial audit loop** — at the end of each phase, reviewer sessions with a single mandate: *break it*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I am the worst reviewer of my own code; a hostile reviewer finds what I rationalise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Every phase since late July closed with a "confirmed findings" fix commit; my last full audit produced 1 critical, 6 high, 16 medium, 21 low findings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Commission the same treatment from a *human* expert — AI reviewers may share my blind spots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**Test-pinning invariants** — every security guarantee is written as a test (~2,100 tests, 122 files)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Documentation can drift; a test that fails loudly cannot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Guarantees like "the supervisor can never approve" are pinned by tests AND a server-side refusal — three independent layers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Extend to the untracked OSINT tests; keep the "specs never silently fail" suite growing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**Live smoke testing on the real deployed machine** — after every change, exercise the running system, not just the tests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 test suite is a model of reality; reality has the final vote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Caught a bug every green test missed: a fake test connection accepted a keyword the real Python API rejects — it surfaced only on the first live feed refresh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Re-run the full live smoke pass after the next deploy; record results in the portfolio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**Secondary research: authoritative security feeds** (CISA KEV, MITRE ATT&amp;CK, NVD, GHSA) ingested into the project's Knowledge Vault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Real data beats invented examples; also *tests* my system with real-world input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Vault grew 12 → 323 records on 15 Aug; ingestion caught two real design bugs (claim-length caps, dotted ATT&amp;CK identifiers)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Add source-ageing so records refresh automatically; list every feed in `sources.md`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**Secondary research: official documentation** (Python stdlib docs, Starlette, systemd, Tailscale) before every design decision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Primary sources for how the platform actually behaves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stdlib-only design decision came from reading what the library already provides; systemd hardening flags came straight from the manual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Compare a doc-only understanding against a YouTube walkthrough of the same topic (metacognition exercise from class)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**Speed-dating perspectives with classmates** (class exercise, upcoming)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 non-technical reader will catch where my explanations assume too much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— not yet trialled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—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Trial it; record what questions classmates ask — those are my explanation gaps</w:t>
            </w:r>
          </w:p>
        </w:tc>
      </w:tr>
    </w:tbl>
    <w:p>
      <w:pPr>
        <w:pStyle w:val="Heading2"/>
      </w:pPr>
      <w:r>
        <w:t xml:space="preserve">What the ratings tell me (metacognition)</w:t>
      </w:r>
    </w:p>
    <w:p>
      <w:r>
        <w:t xml:space="preserve">My two 5-rated strategies (adversarial audit, test-pinning) share one property: **they assume</w:t>
      </w:r>
    </w:p>
    <w:p>
      <w:r>
        <w:t xml:space="preserve">I am wrong and set out to prove it.** My 4-rated strategies (planning, secondary research) are</w:t>
      </w:r>
    </w:p>
    <w:p>
      <w:r>
        <w:t xml:space="preserve">necessary but passive — they inform, they don't falsify. The gap in my strategy set is</w:t>
      </w:r>
    </w:p>
    <w:p>
      <w:r>
        <w:rPr>
          <w:i/>
        </w:rPr>
        <w:t xml:space="preserve">human</w:t>
      </w:r>
      <w:r>
        <w:t xml:space="preserve"> perspective: everything so far is AI reviewers, official documents, and my own tests,</w:t>
      </w:r>
    </w:p>
    <w:p>
      <w:r>
        <w:t xml:space="preserve">which all inherit my blind spots. That is exactly where the expert-contact strategy fits.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40" w:after="120"/>
    </w:pPr>
    <w:rPr>
      <w:b/>
      <w:sz w:val="28"/>
      <w:szCs w:val="28"/>
    </w:rPr>
  </w:style>
  <w:style w:type="paragraph" w:styleId="Heading3">
    <w:name w:val="heading 3"/>
    <w:basedOn w:val="Normal"/>
    <w:pPr>
      <w:keepNext/>
      <w:spacing w:before="200" w:after="100"/>
    </w:pPr>
    <w:rPr>
      <w:b/>
      <w:sz w:val="24"/>
      <w:szCs w:val="24"/>
    </w:rPr>
  </w:style>
  <w:style w:type="paragraph" w:styleId="Quote">
    <w:name w:val="Quote"/>
    <w:basedOn w:val="Normal"/>
    <w:rPr>
      <w:i/>
      <w:color w:val="444444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