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2024-03-15</w:t>
      </w:r>
    </w:p>
    <w:bookmarkStart w:id="20" w:name="summaryabstract"/>
    <w:p>
      <w:pPr>
        <w:pStyle w:val="Heading1"/>
      </w:pPr>
      <w:r>
        <w:t xml:space="preserve">1. Summary/Abstract</w:t>
      </w:r>
    </w:p>
    <w:p>
      <w:pPr>
        <w:pStyle w:val="FirstParagraph"/>
      </w:pPr>
      <w:r>
        <w:t xml:space="preserve">In this project, I will conduct a cross-sectional study on the county level and examine the potential association between age-adjusted all-cause mortality rate and primary care physician supply for US counties. A multilevel linear model will be used, and multiple potential confounders will be accounted for in the model.</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The all-cause mortality rate is an important indicator of general population health. Although the age-adjusted all-cause mortality rate consistently declined in the US from 1935 to 2014, a notable increasing trend after 2015 has been observed</w:t>
      </w:r>
      <w:r>
        <w:t xml:space="preserve"> </w:t>
      </w:r>
      <w:r>
        <w:t xml:space="preserve">(Woolf, Wolf, &amp; Rivara, 2023)</w:t>
      </w:r>
      <w:r>
        <w:t xml:space="preserve">. Personal level access to primary care is highly associated with mortality, morbidity, and healthcare costs</w:t>
      </w:r>
      <w:r>
        <w:t xml:space="preserve"> </w:t>
      </w:r>
      <w:r>
        <w:t xml:space="preserve">(Peart, Lewis, Brown, &amp; Russell, 2018)</w:t>
      </w:r>
      <w:r>
        <w:t xml:space="preserve">. There is a need to study how primary care physician supply on the geographic levels is associated with all-cause mortality rates in the US.</w:t>
      </w:r>
    </w:p>
    <w:p>
      <w:pPr>
        <w:pStyle w:val="BodyText"/>
      </w:pPr>
      <w:r>
        <w:t xml:space="preserve">My hypothesis is that primary care physician supply is negatively associated with age-adjusted all-cause mortality rate among US counties.Since counties can be considered nested within states or regions, a multilevel linear model will be used. The dependent variable will be mortality rate, main predictor will be primary care physician supply, and the socioeconomic measures will be the covariates in the model.</w:t>
      </w:r>
    </w:p>
    <w:p>
      <w:r>
        <w:br w:type="page"/>
      </w:r>
    </w:p>
    <w:bookmarkEnd w:id="21"/>
    <w:bookmarkEnd w:id="22"/>
    <w:bookmarkStart w:id="23" w:name="methods"/>
    <w:p>
      <w:pPr>
        <w:pStyle w:val="Heading1"/>
      </w:pPr>
      <w:r>
        <w:t xml:space="preserve">3. Methods</w:t>
      </w:r>
    </w:p>
    <w:p>
      <w:pPr>
        <w:pStyle w:val="FirstParagraph"/>
      </w:pPr>
      <w:r>
        <w:t xml:space="preserve">Three data sources were used for this study. (1) Multiple Cause of Death File of 2021 from CDC WONDER (https://wonder.cdc.gov/mcd.html). I will obtain county-level age-adjusted all-cause mortality rates (deaths/100k people) from this source. (2) Area Health Resource File of 2021 from U.S. Department of Health &amp; Human Services (https://data.hrsa.gov/data/download). I will obtain county-level primary care physician supply (physicians/100k people) and rural/urban categorization of the county from this file. (3) estimates of 2021 from 2017-2021 5-year American Community Survey (https://www.nhgis.org/). I will obtain states, regions, and some county-level socioeconomic measures as potential confounders for modeling. These measures may include %Living under poverty line, %Without a high school diploma, %Hispanic, %NH-Black, %Unemployed, %Without health insurance, and so on. Data from the three sources will be merged by using the FIPS code which serves as the ID for counties.</w:t>
      </w:r>
    </w:p>
    <w:p>
      <w:r>
        <w:br w:type="page"/>
      </w:r>
    </w:p>
    <w:bookmarkEnd w:id="23"/>
    <w:bookmarkStart w:id="36" w:name="results"/>
    <w:p>
      <w:pPr>
        <w:pStyle w:val="Heading1"/>
      </w:pPr>
      <w:r>
        <w:t xml:space="preserve">4. Results</w:t>
      </w:r>
    </w:p>
    <w:bookmarkStart w:id="33" w:name="descriptive-statistics"/>
    <w:p>
      <w:pPr>
        <w:pStyle w:val="Heading2"/>
      </w:pPr>
      <w:r>
        <w:t xml:space="preserve">4.1 Descriptive Statistics</w:t>
      </w:r>
    </w:p>
    <w:p>
      <w:pPr>
        <w:pStyle w:val="FirstParagraph"/>
      </w:pPr>
      <w:r>
        <w:t xml:space="preserve">We included 3079 US counties in this study, 1162 of which were defined as metropolitan counties (Table 1). The mean age-adjusted all-cause mortality rates were 1380/100k for all counties, 1190/100k for metropolitan counties, and 1490/100k for the non-metro counties. Metro and non-metro counties had similar mean percentages of Hispanic population and unemployment rate. On average, metro counties had higher PCP supply(60.1/100k vs 46.2/100k) and percentages of NH-Black population (10.8% vs 7.8%). Average percentages of population without high school diploma (10.5% vs 13.0%), living under federal poverty line (12.6% vs 15.6%), and without health insurance (8.5% vs 10.3%) were lower among metro counties compared to non-metro counties.</w:t>
      </w:r>
    </w:p>
    <w:p>
      <w:pPr>
        <w:pStyle w:val="BodyText"/>
      </w:pPr>
      <w:r>
        <w:t xml:space="preserve">According to the scatter plot between mortality rate and log-transformed PCP supply, there was a linear association between the two, and the association did not considerably differ by metro status of the county (Figure 1).</w:t>
      </w:r>
    </w:p>
    <w:p>
      <w:pPr>
        <w:pStyle w:val="BodyText"/>
      </w:pPr>
      <w:r>
        <w:t xml:space="preserve">Without adjustment of other factors, log-transformed PCP supply was negatively associated with mortality rate (beta=-37.3, 95% CI=-43.0- -31.5, p-value&lt;.001), non-metro counties had significantly higher mortality rates (beta=310.5, 95% CI=287.2-333.8, p-value&lt;.001) (Table 2); %Hispanic was negatively association with mortality rates (beta=-9.8, 95% CI=-11.0 - -8.7, p-value&lt;.001), %NH-Black was not significantly associated with mortality rate (beta=0.3, 95% CI=-0.9-1.5, p-value=0.657) (Table 3); both %No high school diploma (beta=16.7, 95% CI=14.2 -19.1, p-value&lt;.001) and %Poverty (beta=23.5, 95% CI=21.4–25.6, p-value&lt;.001) were positively associated with mortality rates (Table 4).</w:t>
      </w:r>
    </w:p>
    <w:tbl>
      <w:tblPr>
        <w:tblStyle w:val="Table"/>
        <w:tblW w:type="pct" w:w="5000"/>
        <w:tblLook w:firstRow="0" w:lastRow="0" w:firstColumn="0" w:lastColumn="0" w:noHBand="0" w:noVBand="0" w:val="0000"/>
        <w:jc w:val="start"/>
        <w:tblLayout w:type="fixed"/>
      </w:tblPr>
      <w:tblGrid>
        <w:gridCol w:w="7920"/>
      </w:tblGrid>
      <w:tr>
        <w:tc>
          <w:tcPr/>
          <w:bookmarkStart w:id="24" w:name="tbl-schematic1"/>
          <w:p>
            <w:pPr>
              <w:jc w:val="center"/>
            </w:pPr>
            <w:pPr>
              <w:jc w:val="start"/>
              <w:spacing w:before="200"/>
              <w:pStyle w:val="ImageCaption"/>
            </w:pPr>
            <w:r>
              <w:t xml:space="preserve">Table 1: Descriptive statistics of US counties in 2021.</w:t>
            </w:r>
          </w:p>
          <w:tbl>
            <w:tblPr>
              <w:tblStyle w:val="Table"/>
              <w:tblW w:type="pct" w:w="5000"/>
              <w:tblLook w:firstRow="1" w:lastRow="0" w:firstColumn="0" w:lastColumn="0" w:noHBand="0" w:noVBand="0" w:val="0020"/>
              <w:jc w:val="start"/>
              <w:tblLayout w:type="fixed"/>
            </w:tblPr>
            <w:tblGrid>
              <w:gridCol w:w="2475"/>
              <w:gridCol w:w="1881"/>
              <w:gridCol w:w="1782"/>
              <w:gridCol w:w="1782"/>
            </w:tblGrid>
            <w:tr>
              <w:trPr>
                <w:tblHeader w:val="true"/>
              </w:trPr>
              <w:tc>
                <w:tcPr/>
                <w:p>
                  <w:pPr>
                    <w:pStyle w:val="Compact"/>
                  </w:pPr>
                </w:p>
              </w:tc>
              <w:tc>
                <w:tcPr/>
                <w:p>
                  <w:pPr>
                    <w:pStyle w:val="Compact"/>
                    <w:jc w:val="left"/>
                    <w:jc w:val="center"/>
                  </w:pPr>
                  <w:r>
                    <w:t xml:space="preserve">Metro</w:t>
                  </w:r>
                </w:p>
              </w:tc>
              <w:tc>
                <w:tcPr/>
                <w:p>
                  <w:pPr>
                    <w:pStyle w:val="Compact"/>
                    <w:jc w:val="left"/>
                    <w:jc w:val="center"/>
                  </w:pPr>
                  <w:r>
                    <w:t xml:space="preserve">Non-metro</w:t>
                  </w:r>
                </w:p>
              </w:tc>
              <w:tc>
                <w:tcPr/>
                <w:p>
                  <w:pPr>
                    <w:pStyle w:val="Compact"/>
                    <w:jc w:val="left"/>
                    <w:jc w:val="center"/>
                  </w:pPr>
                  <w:r>
                    <w:t xml:space="preserve">Overall</w:t>
                  </w:r>
                </w:p>
              </w:tc>
            </w:tr>
            <w:tr>
              <w:tc>
                <w:tcPr/>
                <w:p>
                  <w:pPr>
                    <w:pStyle w:val="Compact"/>
                  </w:pPr>
                </w:p>
              </w:tc>
              <w:tc>
                <w:tcPr/>
                <w:p>
                  <w:pPr>
                    <w:pStyle w:val="Compact"/>
                    <w:jc w:val="left"/>
                    <w:jc w:val="center"/>
                  </w:pPr>
                  <w:r>
                    <w:t xml:space="preserve">(N=1162)</w:t>
                  </w:r>
                </w:p>
              </w:tc>
              <w:tc>
                <w:tcPr/>
                <w:p>
                  <w:pPr>
                    <w:pStyle w:val="Compact"/>
                    <w:jc w:val="left"/>
                    <w:jc w:val="center"/>
                  </w:pPr>
                  <w:r>
                    <w:t xml:space="preserve">(N=1917)</w:t>
                  </w:r>
                </w:p>
              </w:tc>
              <w:tc>
                <w:tcPr/>
                <w:p>
                  <w:pPr>
                    <w:pStyle w:val="Compact"/>
                    <w:jc w:val="left"/>
                    <w:jc w:val="center"/>
                  </w:pPr>
                  <w:r>
                    <w:t xml:space="preserve">(N=3079)</w:t>
                  </w:r>
                </w:p>
              </w:tc>
            </w:tr>
            <w:tr>
              <w:tc>
                <w:tcPr/>
                <w:p>
                  <w:pPr>
                    <w:pStyle w:val="Compact"/>
                    <w:jc w:val="left"/>
                    <w:jc w:val="center"/>
                  </w:pPr>
                  <w:r>
                    <w:t xml:space="preserve">Mortality rate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1190 (332)</w:t>
                  </w:r>
                </w:p>
              </w:tc>
              <w:tc>
                <w:tcPr/>
                <w:p>
                  <w:pPr>
                    <w:pStyle w:val="Compact"/>
                    <w:jc w:val="left"/>
                    <w:jc w:val="center"/>
                  </w:pPr>
                  <w:r>
                    <w:t xml:space="preserve">1490 (343)</w:t>
                  </w:r>
                </w:p>
              </w:tc>
              <w:tc>
                <w:tcPr/>
                <w:p>
                  <w:pPr>
                    <w:pStyle w:val="Compact"/>
                    <w:jc w:val="left"/>
                    <w:jc w:val="center"/>
                  </w:pPr>
                  <w:r>
                    <w:t xml:space="preserve">1380 (368)</w:t>
                  </w:r>
                </w:p>
              </w:tc>
            </w:tr>
            <w:tr>
              <w:tc>
                <w:tcPr/>
                <w:p>
                  <w:pPr>
                    <w:pStyle w:val="Compact"/>
                    <w:jc w:val="left"/>
                    <w:jc w:val="center"/>
                  </w:pPr>
                  <w:r>
                    <w:t xml:space="preserve">Median [Min, Max]</w:t>
                  </w:r>
                </w:p>
              </w:tc>
              <w:tc>
                <w:tcPr/>
                <w:p>
                  <w:pPr>
                    <w:pStyle w:val="Compact"/>
                    <w:jc w:val="left"/>
                    <w:jc w:val="center"/>
                  </w:pPr>
                  <w:r>
                    <w:t xml:space="preserve">1170 [411, 3590]</w:t>
                  </w:r>
                </w:p>
              </w:tc>
              <w:tc>
                <w:tcPr/>
                <w:p>
                  <w:pPr>
                    <w:pStyle w:val="Compact"/>
                    <w:jc w:val="left"/>
                    <w:jc w:val="center"/>
                  </w:pPr>
                  <w:r>
                    <w:t xml:space="preserve">1490 [288, 2910]</w:t>
                  </w:r>
                </w:p>
              </w:tc>
              <w:tc>
                <w:tcPr/>
                <w:p>
                  <w:pPr>
                    <w:pStyle w:val="Compact"/>
                    <w:jc w:val="left"/>
                    <w:jc w:val="center"/>
                  </w:pPr>
                  <w:r>
                    <w:t xml:space="preserve">1380 [288, 3590]</w:t>
                  </w:r>
                </w:p>
              </w:tc>
            </w:tr>
            <w:tr>
              <w:tc>
                <w:tcPr/>
                <w:p>
                  <w:pPr>
                    <w:pStyle w:val="Compact"/>
                    <w:jc w:val="left"/>
                    <w:jc w:val="center"/>
                  </w:pPr>
                  <w:r>
                    <w:t xml:space="preserve">PCP supply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60.1 (40.2)</w:t>
                  </w:r>
                </w:p>
              </w:tc>
              <w:tc>
                <w:tcPr/>
                <w:p>
                  <w:pPr>
                    <w:pStyle w:val="Compact"/>
                    <w:jc w:val="left"/>
                    <w:jc w:val="center"/>
                  </w:pPr>
                  <w:r>
                    <w:t xml:space="preserve">46.2 (34.3)</w:t>
                  </w:r>
                </w:p>
              </w:tc>
              <w:tc>
                <w:tcPr/>
                <w:p>
                  <w:pPr>
                    <w:pStyle w:val="Compact"/>
                    <w:jc w:val="left"/>
                    <w:jc w:val="center"/>
                  </w:pPr>
                  <w:r>
                    <w:t xml:space="preserve">51.5 (37.2)</w:t>
                  </w:r>
                </w:p>
              </w:tc>
            </w:tr>
            <w:tr>
              <w:tc>
                <w:tcPr/>
                <w:p>
                  <w:pPr>
                    <w:pStyle w:val="Compact"/>
                    <w:jc w:val="left"/>
                    <w:jc w:val="center"/>
                  </w:pPr>
                  <w:r>
                    <w:t xml:space="preserve">Median [Min, Max]</w:t>
                  </w:r>
                </w:p>
              </w:tc>
              <w:tc>
                <w:tcPr/>
                <w:p>
                  <w:pPr>
                    <w:pStyle w:val="Compact"/>
                    <w:jc w:val="left"/>
                    <w:jc w:val="center"/>
                  </w:pPr>
                  <w:r>
                    <w:t xml:space="preserve">54.3 [0, 581]</w:t>
                  </w:r>
                </w:p>
              </w:tc>
              <w:tc>
                <w:tcPr/>
                <w:p>
                  <w:pPr>
                    <w:pStyle w:val="Compact"/>
                    <w:jc w:val="left"/>
                    <w:jc w:val="center"/>
                  </w:pPr>
                  <w:r>
                    <w:t xml:space="preserve">41.2 [0, 508]</w:t>
                  </w:r>
                </w:p>
              </w:tc>
              <w:tc>
                <w:tcPr/>
                <w:p>
                  <w:pPr>
                    <w:pStyle w:val="Compact"/>
                    <w:jc w:val="left"/>
                    <w:jc w:val="center"/>
                  </w:pPr>
                  <w:r>
                    <w:t xml:space="preserve">45.5 [0, 581]</w:t>
                  </w:r>
                </w:p>
              </w:tc>
            </w:tr>
            <w:tr>
              <w:tc>
                <w:tcPr/>
                <w:p>
                  <w:pPr>
                    <w:pStyle w:val="Compact"/>
                    <w:jc w:val="left"/>
                    <w:jc w:val="center"/>
                  </w:pPr>
                  <w:r>
                    <w:t xml:space="preserve">% Hispanic</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(13.0)</w:t>
                  </w:r>
                </w:p>
              </w:tc>
              <w:tc>
                <w:tcPr/>
                <w:p>
                  <w:pPr>
                    <w:pStyle w:val="Compact"/>
                    <w:jc w:val="left"/>
                    <w:jc w:val="center"/>
                  </w:pPr>
                  <w:r>
                    <w:t xml:space="preserve">9.30 (14.5)</w:t>
                  </w:r>
                </w:p>
              </w:tc>
              <w:tc>
                <w:tcPr/>
                <w:p>
                  <w:pPr>
                    <w:pStyle w:val="Compact"/>
                    <w:jc w:val="left"/>
                    <w:jc w:val="center"/>
                  </w:pPr>
                  <w:r>
                    <w:t xml:space="preserve">9.76 (13.9)</w:t>
                  </w:r>
                </w:p>
              </w:tc>
            </w:tr>
            <w:tr>
              <w:tc>
                <w:tcPr/>
                <w:p>
                  <w:pPr>
                    <w:pStyle w:val="Compact"/>
                    <w:jc w:val="left"/>
                    <w:jc w:val="center"/>
                  </w:pPr>
                  <w:r>
                    <w:t xml:space="preserve">Median [Min, Max]</w:t>
                  </w:r>
                </w:p>
              </w:tc>
              <w:tc>
                <w:tcPr/>
                <w:p>
                  <w:pPr>
                    <w:pStyle w:val="Compact"/>
                    <w:jc w:val="left"/>
                    <w:jc w:val="center"/>
                  </w:pPr>
                  <w:r>
                    <w:t xml:space="preserve">5.80 [0, 95.5]</w:t>
                  </w:r>
                </w:p>
              </w:tc>
              <w:tc>
                <w:tcPr/>
                <w:p>
                  <w:pPr>
                    <w:pStyle w:val="Compact"/>
                    <w:jc w:val="left"/>
                    <w:jc w:val="center"/>
                  </w:pPr>
                  <w:r>
                    <w:t xml:space="preserve">3.82 [0, 96.3]</w:t>
                  </w:r>
                </w:p>
              </w:tc>
              <w:tc>
                <w:tcPr/>
                <w:p>
                  <w:pPr>
                    <w:pStyle w:val="Compact"/>
                    <w:jc w:val="left"/>
                    <w:jc w:val="center"/>
                  </w:pPr>
                  <w:r>
                    <w:t xml:space="preserve">4.51 [0, 96.3]</w:t>
                  </w: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10.8 (13.4)</w:t>
                  </w:r>
                </w:p>
              </w:tc>
              <w:tc>
                <w:tcPr/>
                <w:p>
                  <w:pPr>
                    <w:pStyle w:val="Compact"/>
                    <w:jc w:val="left"/>
                    <w:jc w:val="center"/>
                  </w:pPr>
                  <w:r>
                    <w:t xml:space="preserve">7.80 (14.8)</w:t>
                  </w:r>
                </w:p>
              </w:tc>
              <w:tc>
                <w:tcPr/>
                <w:p>
                  <w:pPr>
                    <w:pStyle w:val="Compact"/>
                    <w:jc w:val="left"/>
                    <w:jc w:val="center"/>
                  </w:pPr>
                  <w:r>
                    <w:t xml:space="preserve">8.95 (14.4)</w:t>
                  </w:r>
                </w:p>
              </w:tc>
            </w:tr>
            <w:tr>
              <w:tc>
                <w:tcPr/>
                <w:p>
                  <w:pPr>
                    <w:pStyle w:val="Compact"/>
                    <w:jc w:val="left"/>
                    <w:jc w:val="center"/>
                  </w:pPr>
                  <w:r>
                    <w:t xml:space="preserve">Median [Min, Max]</w:t>
                  </w:r>
                </w:p>
              </w:tc>
              <w:tc>
                <w:tcPr/>
                <w:p>
                  <w:pPr>
                    <w:pStyle w:val="Compact"/>
                    <w:jc w:val="left"/>
                    <w:jc w:val="center"/>
                  </w:pPr>
                  <w:r>
                    <w:t xml:space="preserve">5.50 [0, 79.7]</w:t>
                  </w:r>
                </w:p>
              </w:tc>
              <w:tc>
                <w:tcPr/>
                <w:p>
                  <w:pPr>
                    <w:pStyle w:val="Compact"/>
                    <w:jc w:val="left"/>
                    <w:jc w:val="center"/>
                  </w:pPr>
                  <w:r>
                    <w:t xml:space="preserve">1.26 [0, 87.0]</w:t>
                  </w:r>
                </w:p>
              </w:tc>
              <w:tc>
                <w:tcPr/>
                <w:p>
                  <w:pPr>
                    <w:pStyle w:val="Compact"/>
                    <w:jc w:val="left"/>
                    <w:jc w:val="center"/>
                  </w:pPr>
                  <w:r>
                    <w:t xml:space="preserve">2.21 [0, 87.0]</w:t>
                  </w:r>
                </w:p>
              </w:tc>
            </w:tr>
            <w:tr>
              <w:tc>
                <w:tcPr/>
                <w:p>
                  <w:pPr>
                    <w:pStyle w:val="Compact"/>
                    <w:jc w:val="left"/>
                    <w:jc w:val="center"/>
                  </w:pPr>
                  <w:r>
                    <w:t xml:space="preserve">% No high school diploma</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(4.84)</w:t>
                  </w:r>
                </w:p>
              </w:tc>
              <w:tc>
                <w:tcPr/>
                <w:p>
                  <w:pPr>
                    <w:pStyle w:val="Compact"/>
                    <w:jc w:val="left"/>
                    <w:jc w:val="center"/>
                  </w:pPr>
                  <w:r>
                    <w:t xml:space="preserve">13.0 (6.14)</w:t>
                  </w:r>
                </w:p>
              </w:tc>
              <w:tc>
                <w:tcPr/>
                <w:p>
                  <w:pPr>
                    <w:pStyle w:val="Compact"/>
                    <w:jc w:val="left"/>
                    <w:jc w:val="center"/>
                  </w:pPr>
                  <w:r>
                    <w:t xml:space="preserve">12.1 (5.81)</w:t>
                  </w:r>
                </w:p>
              </w:tc>
            </w:tr>
            <w:tr>
              <w:tc>
                <w:tcPr/>
                <w:p>
                  <w:pPr>
                    <w:pStyle w:val="Compact"/>
                    <w:jc w:val="left"/>
                    <w:jc w:val="center"/>
                  </w:pPr>
                  <w:r>
                    <w:t xml:space="preserve">Median [Min, Max]</w:t>
                  </w:r>
                </w:p>
              </w:tc>
              <w:tc>
                <w:tcPr/>
                <w:p>
                  <w:pPr>
                    <w:pStyle w:val="Compact"/>
                    <w:jc w:val="left"/>
                    <w:jc w:val="center"/>
                  </w:pPr>
                  <w:r>
                    <w:t xml:space="preserve">9.67 [2.12, 50.3]</w:t>
                  </w:r>
                </w:p>
              </w:tc>
              <w:tc>
                <w:tcPr/>
                <w:p>
                  <w:pPr>
                    <w:pStyle w:val="Compact"/>
                    <w:jc w:val="left"/>
                    <w:jc w:val="center"/>
                  </w:pPr>
                  <w:r>
                    <w:t xml:space="preserve">11.9 [1.38, 47.9]</w:t>
                  </w:r>
                </w:p>
              </w:tc>
              <w:tc>
                <w:tcPr/>
                <w:p>
                  <w:pPr>
                    <w:pStyle w:val="Compact"/>
                    <w:jc w:val="left"/>
                    <w:jc w:val="center"/>
                  </w:pPr>
                  <w:r>
                    <w:t xml:space="preserve">10.8 [1.38, 50.3]</w:t>
                  </w: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12.6 (4.97)</w:t>
                  </w:r>
                </w:p>
              </w:tc>
              <w:tc>
                <w:tcPr/>
                <w:p>
                  <w:pPr>
                    <w:pStyle w:val="Compact"/>
                    <w:jc w:val="left"/>
                    <w:jc w:val="center"/>
                  </w:pPr>
                  <w:r>
                    <w:t xml:space="preserve">15.6 (6.39)</w:t>
                  </w:r>
                </w:p>
              </w:tc>
              <w:tc>
                <w:tcPr/>
                <w:p>
                  <w:pPr>
                    <w:pStyle w:val="Compact"/>
                    <w:jc w:val="left"/>
                    <w:jc w:val="center"/>
                  </w:pPr>
                  <w:r>
                    <w:t xml:space="preserve">14.5 (6.08)</w:t>
                  </w:r>
                </w:p>
              </w:tc>
            </w:tr>
            <w:tr>
              <w:tc>
                <w:tcPr/>
                <w:p>
                  <w:pPr>
                    <w:pStyle w:val="Compact"/>
                    <w:jc w:val="left"/>
                    <w:jc w:val="center"/>
                  </w:pPr>
                  <w:r>
                    <w:t xml:space="preserve">Median [Min, Max]</w:t>
                  </w:r>
                </w:p>
              </w:tc>
              <w:tc>
                <w:tcPr/>
                <w:p>
                  <w:pPr>
                    <w:pStyle w:val="Compact"/>
                    <w:jc w:val="left"/>
                    <w:jc w:val="center"/>
                  </w:pPr>
                  <w:r>
                    <w:t xml:space="preserve">12.0 [1.80, 38.5]</w:t>
                  </w:r>
                </w:p>
              </w:tc>
              <w:tc>
                <w:tcPr/>
                <w:p>
                  <w:pPr>
                    <w:pStyle w:val="Compact"/>
                    <w:jc w:val="left"/>
                    <w:jc w:val="center"/>
                  </w:pPr>
                  <w:r>
                    <w:t xml:space="preserve">14.5 [3.54, 59.0]</w:t>
                  </w:r>
                </w:p>
              </w:tc>
              <w:tc>
                <w:tcPr/>
                <w:p>
                  <w:pPr>
                    <w:pStyle w:val="Compact"/>
                    <w:jc w:val="left"/>
                    <w:jc w:val="center"/>
                  </w:pPr>
                  <w:r>
                    <w:t xml:space="preserve">13.5 [1.80, 59.0]</w:t>
                  </w:r>
                </w:p>
              </w:tc>
            </w:tr>
            <w:tr>
              <w:tc>
                <w:tcPr/>
                <w:p>
                  <w:pPr>
                    <w:pStyle w:val="Compact"/>
                    <w:jc w:val="left"/>
                    <w:jc w:val="center"/>
                  </w:pPr>
                  <w:r>
                    <w:t xml:space="preserve">% Unemployed</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5.15 (1.93)</w:t>
                  </w:r>
                </w:p>
              </w:tc>
              <w:tc>
                <w:tcPr/>
                <w:p>
                  <w:pPr>
                    <w:pStyle w:val="Compact"/>
                    <w:jc w:val="left"/>
                    <w:jc w:val="center"/>
                  </w:pPr>
                  <w:r>
                    <w:t xml:space="preserve">5.35 (2.92)</w:t>
                  </w:r>
                </w:p>
              </w:tc>
              <w:tc>
                <w:tcPr/>
                <w:p>
                  <w:pPr>
                    <w:pStyle w:val="Compact"/>
                    <w:jc w:val="left"/>
                    <w:jc w:val="center"/>
                  </w:pPr>
                  <w:r>
                    <w:t xml:space="preserve">5.27 (2.59)</w:t>
                  </w:r>
                </w:p>
              </w:tc>
            </w:tr>
            <w:tr>
              <w:tc>
                <w:tcPr/>
                <w:p>
                  <w:pPr>
                    <w:pStyle w:val="Compact"/>
                    <w:jc w:val="left"/>
                    <w:jc w:val="center"/>
                  </w:pPr>
                  <w:r>
                    <w:t xml:space="preserve">Median [Min, Max]</w:t>
                  </w:r>
                </w:p>
              </w:tc>
              <w:tc>
                <w:tcPr/>
                <w:p>
                  <w:pPr>
                    <w:pStyle w:val="Compact"/>
                    <w:jc w:val="left"/>
                    <w:jc w:val="center"/>
                  </w:pPr>
                  <w:r>
                    <w:t xml:space="preserve">4.90 [0.699, 26.2]</w:t>
                  </w:r>
                </w:p>
              </w:tc>
              <w:tc>
                <w:tcPr/>
                <w:p>
                  <w:pPr>
                    <w:pStyle w:val="Compact"/>
                    <w:jc w:val="left"/>
                    <w:jc w:val="center"/>
                  </w:pPr>
                  <w:r>
                    <w:t xml:space="preserve">4.93 [0, 32.4]</w:t>
                  </w:r>
                </w:p>
              </w:tc>
              <w:tc>
                <w:tcPr/>
                <w:p>
                  <w:pPr>
                    <w:pStyle w:val="Compact"/>
                    <w:jc w:val="left"/>
                    <w:jc w:val="center"/>
                  </w:pPr>
                  <w:r>
                    <w:t xml:space="preserve">4.92 [0, 32.4]</w:t>
                  </w: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8.48 (4.15)</w:t>
                  </w:r>
                </w:p>
              </w:tc>
              <w:tc>
                <w:tcPr/>
                <w:p>
                  <w:pPr>
                    <w:pStyle w:val="Compact"/>
                    <w:jc w:val="left"/>
                    <w:jc w:val="center"/>
                  </w:pPr>
                  <w:r>
                    <w:t xml:space="preserve">10.3 (5.37)</w:t>
                  </w:r>
                </w:p>
              </w:tc>
              <w:tc>
                <w:tcPr/>
                <w:p>
                  <w:pPr>
                    <w:pStyle w:val="Compact"/>
                    <w:jc w:val="left"/>
                    <w:jc w:val="center"/>
                  </w:pPr>
                  <w:r>
                    <w:t xml:space="preserve">9.62 (5.02)</w:t>
                  </w:r>
                </w:p>
              </w:tc>
            </w:tr>
            <w:tr>
              <w:tc>
                <w:tcPr/>
                <w:p>
                  <w:pPr>
                    <w:pStyle w:val="Compact"/>
                    <w:jc w:val="left"/>
                    <w:jc w:val="center"/>
                  </w:pPr>
                  <w:r>
                    <w:t xml:space="preserve">Median [Min, Max]</w:t>
                  </w:r>
                </w:p>
              </w:tc>
              <w:tc>
                <w:tcPr/>
                <w:p>
                  <w:pPr>
                    <w:pStyle w:val="Compact"/>
                    <w:jc w:val="left"/>
                    <w:jc w:val="center"/>
                  </w:pPr>
                  <w:r>
                    <w:t xml:space="preserve">7.81 [1.06, 33.2]</w:t>
                  </w:r>
                </w:p>
              </w:tc>
              <w:tc>
                <w:tcPr/>
                <w:p>
                  <w:pPr>
                    <w:pStyle w:val="Compact"/>
                    <w:jc w:val="left"/>
                    <w:jc w:val="center"/>
                  </w:pPr>
                  <w:r>
                    <w:t xml:space="preserve">9.13 [1.17, 44.9]</w:t>
                  </w:r>
                </w:p>
              </w:tc>
              <w:tc>
                <w:tcPr/>
                <w:p>
                  <w:pPr>
                    <w:pStyle w:val="Compact"/>
                    <w:jc w:val="left"/>
                    <w:jc w:val="center"/>
                  </w:pPr>
                  <w:r>
                    <w:t xml:space="preserve">8.51 [1.06, 44.9]</w:t>
                  </w:r>
                </w:p>
              </w:tc>
            </w:tr>
          </w:tbl>
          <w:p>
            <w:pPr>
              <w:jc w:val="center"/>
            </w:pPr>
            <w:r>
              <w:rPr>
                <w:bCs/>
                <w:b/>
              </w:rPr>
              <w:t xml:space="preserve">Note:</w:t>
            </w:r>
            <w:r>
              <w:t xml:space="preserve"> </w:t>
            </w:r>
            <w:r>
              <w:rPr>
                <w:vertAlign w:val="superscript"/>
              </w:rPr>
              <w:t xml:space="preserve">a</w:t>
            </w:r>
            <w:r>
              <w:t xml:space="preserve">SD, standard deviation; PCP, primary care physician.</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chematic1"/>
          <w:p>
            <w:pPr>
              <w:pStyle w:val="Compact"/>
              <w:jc w:val="center"/>
            </w:pPr>
            <w:r>
              <w:drawing>
                <wp:inline>
                  <wp:extent cx="5334000" cy="3807460"/>
                  <wp:effectExtent b="0" l="0" r="0" t="0"/>
                  <wp:docPr descr="" title="" id="26" name="Picture"/>
                  <a:graphic>
                    <a:graphicData uri="http://schemas.openxmlformats.org/drawingml/2006/picture">
                      <pic:pic>
                        <pic:nvPicPr>
                          <pic:cNvPr descr="../../results/analysis/figure1.png" id="27" name="Picture"/>
                          <pic:cNvPicPr>
                            <a:picLocks noChangeArrowheads="1" noChangeAspect="1"/>
                          </pic:cNvPicPr>
                        </pic:nvPicPr>
                        <pic:blipFill>
                          <a:blip r:embed="rId2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Association between age-adjusted all-cause mortality rate and Log (PCP supply) by metropolitan status among US counties, 2011</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9" w:name="tbl-schematic2a"/>
          <w:p>
            <w:pPr>
              <w:jc w:val="center"/>
            </w:pPr>
            <w:pPr>
              <w:jc w:val="start"/>
              <w:spacing w:before="200"/>
              <w:pStyle w:val="ImageCaption"/>
            </w:pPr>
            <w:r>
              <w:t xml:space="preserve">Table 2: Results of unadjusted multilevel linear regression.</w:t>
            </w:r>
          </w:p>
          <w:tbl>
            <w:tblPr>
              <w:tblStyle w:val="Table"/>
              <w:tblW w:type="pct" w:w="5000"/>
              <w:tblLook w:firstRow="1" w:lastRow="0" w:firstColumn="0" w:lastColumn="0" w:noHBand="0" w:noVBand="0" w:val="0020"/>
              <w:jc w:val="start"/>
              <w:tblLayout w:type="fixed"/>
            </w:tblPr>
            <w:tblGrid>
              <w:gridCol w:w="2200"/>
              <w:gridCol w:w="1026"/>
              <w:gridCol w:w="1173"/>
              <w:gridCol w:w="660"/>
              <w:gridCol w:w="1026"/>
              <w:gridCol w:w="1173"/>
              <w:gridCol w:w="66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1444.6</w:t>
                  </w:r>
                </w:p>
              </w:tc>
              <w:tc>
                <w:tcPr/>
                <w:p>
                  <w:pPr>
                    <w:pStyle w:val="Compact"/>
                    <w:jc w:val="left"/>
                    <w:jc w:val="center"/>
                  </w:pPr>
                  <w:r>
                    <w:t xml:space="preserve">1389.1 – 1500.0</w:t>
                  </w:r>
                </w:p>
              </w:tc>
              <w:tc>
                <w:tcPr/>
                <w:p>
                  <w:pPr>
                    <w:pStyle w:val="Compact"/>
                    <w:jc w:val="left"/>
                    <w:jc w:val="center"/>
                  </w:pPr>
                  <w:r>
                    <w:t xml:space="preserve">&lt;0.001</w:t>
                  </w:r>
                </w:p>
              </w:tc>
              <w:tc>
                <w:tcPr/>
                <w:p>
                  <w:pPr>
                    <w:pStyle w:val="Compact"/>
                    <w:jc w:val="left"/>
                    <w:jc w:val="center"/>
                  </w:pPr>
                  <w:r>
                    <w:t xml:space="preserve">1129.1</w:t>
                  </w:r>
                </w:p>
              </w:tc>
              <w:tc>
                <w:tcPr/>
                <w:p>
                  <w:pPr>
                    <w:pStyle w:val="Compact"/>
                    <w:jc w:val="left"/>
                    <w:jc w:val="center"/>
                  </w:pPr>
                  <w:r>
                    <w:t xml:space="preserve">1076.0 – 1182.3</w:t>
                  </w:r>
                </w:p>
              </w:tc>
              <w:tc>
                <w:tcPr/>
                <w:p>
                  <w:pPr>
                    <w:pStyle w:val="Compact"/>
                    <w:jc w:val="left"/>
                    <w:jc w:val="center"/>
                  </w:pPr>
                  <w:r>
                    <w:t xml:space="preserve">&lt;0.001</w:t>
                  </w:r>
                </w:p>
              </w:tc>
            </w:tr>
            <w:tr>
              <w:tc>
                <w:tcPr/>
                <w:p>
                  <w:pPr>
                    <w:pStyle w:val="Compact"/>
                    <w:jc w:val="left"/>
                    <w:jc w:val="center"/>
                  </w:pPr>
                  <w:r>
                    <w:t xml:space="preserve">log(pcp_100k + 0.01)</w:t>
                  </w:r>
                </w:p>
              </w:tc>
              <w:tc>
                <w:tcPr/>
                <w:p>
                  <w:pPr>
                    <w:pStyle w:val="Compact"/>
                    <w:jc w:val="left"/>
                    <w:jc w:val="center"/>
                  </w:pPr>
                  <w:r>
                    <w:t xml:space="preserve">-37.3</w:t>
                  </w:r>
                </w:p>
              </w:tc>
              <w:tc>
                <w:tcPr/>
                <w:p>
                  <w:pPr>
                    <w:pStyle w:val="Compact"/>
                    <w:jc w:val="left"/>
                    <w:jc w:val="center"/>
                  </w:pPr>
                  <w:r>
                    <w:t xml:space="preserve">-43.0 – -31.5</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Metropolitan status:Non-metro</w:t>
                  </w:r>
                </w:p>
              </w:tc>
              <w:tc>
                <w:tcPr/>
                <w:p>
                  <w:pPr>
                    <w:pStyle w:val="Compact"/>
                  </w:pPr>
                </w:p>
              </w:tc>
              <w:tc>
                <w:tcPr/>
                <w:p>
                  <w:pPr>
                    <w:pStyle w:val="Compact"/>
                  </w:pPr>
                </w:p>
              </w:tc>
              <w:tc>
                <w:tcPr/>
                <w:p>
                  <w:pPr>
                    <w:pStyle w:val="Compact"/>
                  </w:pPr>
                </w:p>
              </w:tc>
              <w:tc>
                <w:tcPr/>
                <w:p>
                  <w:pPr>
                    <w:pStyle w:val="Compact"/>
                    <w:jc w:val="left"/>
                    <w:jc w:val="center"/>
                  </w:pPr>
                  <w:r>
                    <w:t xml:space="preserve">310.5</w:t>
                  </w:r>
                </w:p>
              </w:tc>
              <w:tc>
                <w:tcPr/>
                <w:p>
                  <w:pPr>
                    <w:pStyle w:val="Compact"/>
                    <w:jc w:val="left"/>
                    <w:jc w:val="center"/>
                  </w:pPr>
                  <w:r>
                    <w:t xml:space="preserve">287.2 – 333.8</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0.042 / 0.260</w:t>
                  </w:r>
                </w:p>
              </w:tc>
              <w:tc>
                <w:tcPr/>
                <w:p>
                  <w:pPr>
                    <w:pStyle w:val="Compact"/>
                  </w:pPr>
                </w:p>
              </w:tc>
              <w:tc>
                <w:tcPr/>
                <w:p>
                  <w:pPr>
                    <w:pStyle w:val="Compact"/>
                  </w:pPr>
                </w:p>
              </w:tc>
              <w:tc>
                <w:tcPr/>
                <w:p>
                  <w:pPr>
                    <w:pStyle w:val="Compact"/>
                    <w:jc w:val="left"/>
                    <w:jc w:val="center"/>
                  </w:pPr>
                  <w:r>
                    <w:t xml:space="preserve">0.156 / 0.371</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44497.021</w:t>
                  </w:r>
                </w:p>
              </w:tc>
              <w:tc>
                <w:tcPr/>
                <w:p>
                  <w:pPr>
                    <w:pStyle w:val="Compact"/>
                  </w:pPr>
                </w:p>
              </w:tc>
              <w:tc>
                <w:tcPr/>
                <w:p>
                  <w:pPr>
                    <w:pStyle w:val="Compact"/>
                  </w:pPr>
                </w:p>
              </w:tc>
              <w:tc>
                <w:tcPr/>
                <w:p>
                  <w:pPr>
                    <w:pStyle w:val="Compact"/>
                    <w:jc w:val="left"/>
                    <w:jc w:val="center"/>
                  </w:pPr>
                  <w:r>
                    <w:t xml:space="preserve">44036.552</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0" w:name="tbl-schematic2b"/>
          <w:p>
            <w:pPr>
              <w:jc w:val="center"/>
            </w:pPr>
            <w:pPr>
              <w:jc w:val="start"/>
              <w:spacing w:before="200"/>
              <w:pStyle w:val="ImageCaption"/>
            </w:pPr>
            <w:r>
              <w:t xml:space="preserve">Table 3: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1407.0</w:t>
                  </w:r>
                </w:p>
              </w:tc>
              <w:tc>
                <w:tcPr/>
                <w:p>
                  <w:pPr>
                    <w:pStyle w:val="Compact"/>
                    <w:jc w:val="left"/>
                    <w:jc w:val="center"/>
                  </w:pPr>
                  <w:r>
                    <w:t xml:space="preserve">1350.3 – 1463.6</w:t>
                  </w:r>
                </w:p>
              </w:tc>
              <w:tc>
                <w:tcPr/>
                <w:p>
                  <w:pPr>
                    <w:pStyle w:val="Compact"/>
                    <w:jc w:val="left"/>
                    <w:jc w:val="center"/>
                  </w:pPr>
                  <w:r>
                    <w:t xml:space="preserve">&lt;0.001</w:t>
                  </w:r>
                </w:p>
              </w:tc>
              <w:tc>
                <w:tcPr/>
                <w:p>
                  <w:pPr>
                    <w:pStyle w:val="Compact"/>
                    <w:jc w:val="left"/>
                    <w:jc w:val="center"/>
                  </w:pPr>
                  <w:r>
                    <w:t xml:space="preserve">1311.5</w:t>
                  </w:r>
                </w:p>
              </w:tc>
              <w:tc>
                <w:tcPr/>
                <w:p>
                  <w:pPr>
                    <w:pStyle w:val="Compact"/>
                    <w:jc w:val="left"/>
                    <w:jc w:val="center"/>
                  </w:pPr>
                  <w:r>
                    <w:t xml:space="preserve">1257.4 – 1365.7</w:t>
                  </w:r>
                </w:p>
              </w:tc>
              <w:tc>
                <w:tcPr/>
                <w:p>
                  <w:pPr>
                    <w:pStyle w:val="Compact"/>
                    <w:jc w:val="left"/>
                    <w:jc w:val="center"/>
                  </w:pPr>
                  <w:r>
                    <w:t xml:space="preserve">&lt;0.001</w:t>
                  </w:r>
                </w:p>
              </w:tc>
            </w:tr>
            <w:tr>
              <w:tc>
                <w:tcPr/>
                <w:p>
                  <w:pPr>
                    <w:pStyle w:val="Compact"/>
                    <w:jc w:val="left"/>
                    <w:jc w:val="center"/>
                  </w:pPr>
                  <w:r>
                    <w:t xml:space="preserve">% Hispanic</w:t>
                  </w:r>
                </w:p>
              </w:tc>
              <w:tc>
                <w:tcPr/>
                <w:p>
                  <w:pPr>
                    <w:pStyle w:val="Compact"/>
                    <w:jc w:val="left"/>
                    <w:jc w:val="center"/>
                  </w:pPr>
                  <w:r>
                    <w:t xml:space="preserve">-9.8</w:t>
                  </w:r>
                </w:p>
              </w:tc>
              <w:tc>
                <w:tcPr/>
                <w:p>
                  <w:pPr>
                    <w:pStyle w:val="Compact"/>
                    <w:jc w:val="left"/>
                    <w:jc w:val="center"/>
                  </w:pPr>
                  <w:r>
                    <w:t xml:space="preserve">-11.0 – -8.7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c>
                <w:tcPr/>
                <w:p>
                  <w:pPr>
                    <w:pStyle w:val="Compact"/>
                    <w:jc w:val="left"/>
                    <w:jc w:val="center"/>
                  </w:pPr>
                  <w:r>
                    <w:t xml:space="preserve">0.3</w:t>
                  </w:r>
                </w:p>
              </w:tc>
              <w:tc>
                <w:tcPr/>
                <w:p>
                  <w:pPr>
                    <w:pStyle w:val="Compact"/>
                    <w:jc w:val="left"/>
                    <w:jc w:val="center"/>
                  </w:pPr>
                  <w:r>
                    <w:t xml:space="preserve">-0.9 – 1.5</w:t>
                  </w:r>
                </w:p>
              </w:tc>
              <w:tc>
                <w:tcPr/>
                <w:p>
                  <w:pPr>
                    <w:pStyle w:val="Compact"/>
                    <w:jc w:val="left"/>
                    <w:jc w:val="center"/>
                  </w:pPr>
                  <w:r>
                    <w:t xml:space="preserve">0.657</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0.119 / 0.352</w:t>
                  </w:r>
                </w:p>
              </w:tc>
              <w:tc>
                <w:tcPr/>
                <w:p>
                  <w:pPr>
                    <w:pStyle w:val="Compact"/>
                  </w:pPr>
                </w:p>
              </w:tc>
              <w:tc>
                <w:tcPr/>
                <w:p>
                  <w:pPr>
                    <w:pStyle w:val="Compact"/>
                  </w:pPr>
                </w:p>
              </w:tc>
              <w:tc>
                <w:tcPr/>
                <w:p>
                  <w:pPr>
                    <w:pStyle w:val="Compact"/>
                    <w:jc w:val="left"/>
                    <w:jc w:val="center"/>
                  </w:pPr>
                  <w:r>
                    <w:t xml:space="preserve">0.000 / 0.230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44402.708</w:t>
                  </w:r>
                </w:p>
              </w:tc>
              <w:tc>
                <w:tcPr/>
                <w:p>
                  <w:pPr>
                    <w:pStyle w:val="Compact"/>
                  </w:pPr>
                </w:p>
              </w:tc>
              <w:tc>
                <w:tcPr/>
                <w:p>
                  <w:pPr>
                    <w:pStyle w:val="Compact"/>
                  </w:pPr>
                </w:p>
              </w:tc>
              <w:tc>
                <w:tcPr/>
                <w:p>
                  <w:pPr>
                    <w:pStyle w:val="Compact"/>
                    <w:jc w:val="left"/>
                    <w:jc w:val="center"/>
                  </w:pPr>
                  <w:r>
                    <w:t xml:space="preserve">44658.061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1" w:name="tbl-schematic2c"/>
          <w:p>
            <w:pPr>
              <w:jc w:val="center"/>
            </w:pPr>
            <w:pPr>
              <w:jc w:val="start"/>
              <w:spacing w:before="200"/>
              <w:pStyle w:val="ImageCaption"/>
            </w:pPr>
            <w:r>
              <w:t xml:space="preserve">Table 4: Results of unadjusted multilevel linear regression.</w:t>
            </w:r>
          </w:p>
          <w:tbl>
            <w:tblPr>
              <w:tblStyle w:val="Table"/>
              <w:tblW w:type="pct" w:w="5000"/>
              <w:tblLook w:firstRow="1" w:lastRow="0" w:firstColumn="0" w:lastColumn="0" w:noHBand="0" w:noVBand="0" w:val="0020"/>
              <w:jc w:val="start"/>
              <w:tblLayout w:type="fixed"/>
            </w:tblPr>
            <w:tblGrid>
              <w:gridCol w:w="2166"/>
              <w:gridCol w:w="1046"/>
              <w:gridCol w:w="1195"/>
              <w:gridCol w:w="672"/>
              <w:gridCol w:w="1046"/>
              <w:gridCol w:w="1120"/>
              <w:gridCol w:w="672"/>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1133.5</w:t>
                  </w:r>
                </w:p>
              </w:tc>
              <w:tc>
                <w:tcPr/>
                <w:p>
                  <w:pPr>
                    <w:pStyle w:val="Compact"/>
                    <w:jc w:val="left"/>
                    <w:jc w:val="center"/>
                  </w:pPr>
                  <w:r>
                    <w:t xml:space="preserve">1080.8 – 1186.1</w:t>
                  </w:r>
                </w:p>
              </w:tc>
              <w:tc>
                <w:tcPr/>
                <w:p>
                  <w:pPr>
                    <w:pStyle w:val="Compact"/>
                    <w:jc w:val="left"/>
                    <w:jc w:val="center"/>
                  </w:pPr>
                  <w:r>
                    <w:t xml:space="preserve">&lt;0.001</w:t>
                  </w:r>
                </w:p>
              </w:tc>
              <w:tc>
                <w:tcPr/>
                <w:p>
                  <w:pPr>
                    <w:pStyle w:val="Compact"/>
                    <w:jc w:val="left"/>
                    <w:jc w:val="center"/>
                  </w:pPr>
                  <w:r>
                    <w:t xml:space="preserve">993.7</w:t>
                  </w:r>
                </w:p>
              </w:tc>
              <w:tc>
                <w:tcPr/>
                <w:p>
                  <w:pPr>
                    <w:pStyle w:val="Compact"/>
                    <w:jc w:val="left"/>
                    <w:jc w:val="center"/>
                  </w:pPr>
                  <w:r>
                    <w:t xml:space="preserve">943.8 – 1043.5</w:t>
                  </w:r>
                </w:p>
              </w:tc>
              <w:tc>
                <w:tcPr/>
                <w:p>
                  <w:pPr>
                    <w:pStyle w:val="Compact"/>
                    <w:jc w:val="left"/>
                    <w:jc w:val="center"/>
                  </w:pPr>
                  <w:r>
                    <w:t xml:space="preserve">&lt;0.001</w:t>
                  </w:r>
                </w:p>
              </w:tc>
            </w:tr>
            <w:tr>
              <w:tc>
                <w:tcPr/>
                <w:p>
                  <w:pPr>
                    <w:pStyle w:val="Compact"/>
                    <w:jc w:val="left"/>
                    <w:jc w:val="center"/>
                  </w:pPr>
                  <w:r>
                    <w:t xml:space="preserve">% No high school diploma</w:t>
                  </w:r>
                </w:p>
              </w:tc>
              <w:tc>
                <w:tcPr/>
                <w:p>
                  <w:pPr>
                    <w:pStyle w:val="Compact"/>
                    <w:jc w:val="left"/>
                    <w:jc w:val="center"/>
                  </w:pPr>
                  <w:r>
                    <w:t xml:space="preserve">16.7</w:t>
                  </w:r>
                </w:p>
              </w:tc>
              <w:tc>
                <w:tcPr/>
                <w:p>
                  <w:pPr>
                    <w:pStyle w:val="Compact"/>
                    <w:jc w:val="left"/>
                    <w:jc w:val="center"/>
                  </w:pPr>
                  <w:r>
                    <w:t xml:space="preserve">14.2 – 19.1</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c>
                <w:tcPr/>
                <w:p>
                  <w:pPr>
                    <w:pStyle w:val="Compact"/>
                    <w:jc w:val="left"/>
                    <w:jc w:val="center"/>
                  </w:pPr>
                  <w:r>
                    <w:t xml:space="preserve">23.5</w:t>
                  </w:r>
                </w:p>
              </w:tc>
              <w:tc>
                <w:tcPr/>
                <w:p>
                  <w:pPr>
                    <w:pStyle w:val="Compact"/>
                    <w:jc w:val="left"/>
                    <w:jc w:val="center"/>
                  </w:pPr>
                  <w:r>
                    <w:t xml:space="preserve">21.4 – 25.6</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0.067 / 0.236</w:t>
                  </w:r>
                </w:p>
              </w:tc>
              <w:tc>
                <w:tcPr/>
                <w:p>
                  <w:pPr>
                    <w:pStyle w:val="Compact"/>
                  </w:pPr>
                </w:p>
              </w:tc>
              <w:tc>
                <w:tcPr/>
                <w:p>
                  <w:pPr>
                    <w:pStyle w:val="Compact"/>
                  </w:pPr>
                </w:p>
              </w:tc>
              <w:tc>
                <w:tcPr/>
                <w:p>
                  <w:pPr>
                    <w:pStyle w:val="Compact"/>
                    <w:jc w:val="left"/>
                    <w:jc w:val="center"/>
                  </w:pPr>
                  <w:r>
                    <w:t xml:space="preserve">0.150 / 0.285</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44483.556</w:t>
                  </w:r>
                </w:p>
              </w:tc>
              <w:tc>
                <w:tcPr/>
                <w:p>
                  <w:pPr>
                    <w:pStyle w:val="Compact"/>
                  </w:pPr>
                </w:p>
              </w:tc>
              <w:tc>
                <w:tcPr/>
                <w:p>
                  <w:pPr>
                    <w:pStyle w:val="Compact"/>
                  </w:pPr>
                </w:p>
              </w:tc>
              <w:tc>
                <w:tcPr/>
                <w:p>
                  <w:pPr>
                    <w:pStyle w:val="Compact"/>
                    <w:jc w:val="left"/>
                    <w:jc w:val="center"/>
                  </w:pPr>
                  <w:r>
                    <w:t xml:space="preserve">44215.238</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schematic2d"/>
          <w:p>
            <w:pPr>
              <w:jc w:val="center"/>
            </w:pPr>
            <w:pPr>
              <w:jc w:val="start"/>
              <w:spacing w:before="200"/>
              <w:pStyle w:val="ImageCaption"/>
            </w:pPr>
            <w:r>
              <w:t xml:space="preserve">Table 5: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1137.5</w:t>
                  </w:r>
                </w:p>
              </w:tc>
              <w:tc>
                <w:tcPr/>
                <w:p>
                  <w:pPr>
                    <w:pStyle w:val="Compact"/>
                    <w:jc w:val="left"/>
                    <w:jc w:val="center"/>
                  </w:pPr>
                  <w:r>
                    <w:t xml:space="preserve">1078.6 – 1196.4</w:t>
                  </w:r>
                </w:p>
              </w:tc>
              <w:tc>
                <w:tcPr/>
                <w:p>
                  <w:pPr>
                    <w:pStyle w:val="Compact"/>
                    <w:jc w:val="left"/>
                    <w:jc w:val="center"/>
                  </w:pPr>
                  <w:r>
                    <w:t xml:space="preserve">&lt;0.001</w:t>
                  </w:r>
                </w:p>
              </w:tc>
              <w:tc>
                <w:tcPr/>
                <w:p>
                  <w:pPr>
                    <w:pStyle w:val="Compact"/>
                    <w:jc w:val="left"/>
                    <w:jc w:val="center"/>
                  </w:pPr>
                  <w:r>
                    <w:t xml:space="preserve">1200.6</w:t>
                  </w:r>
                </w:p>
              </w:tc>
              <w:tc>
                <w:tcPr/>
                <w:p>
                  <w:pPr>
                    <w:pStyle w:val="Compact"/>
                    <w:jc w:val="left"/>
                    <w:jc w:val="center"/>
                  </w:pPr>
                  <w:r>
                    <w:t xml:space="preserve">1141.8 – 1259.3</w:t>
                  </w:r>
                </w:p>
              </w:tc>
              <w:tc>
                <w:tcPr/>
                <w:p>
                  <w:pPr>
                    <w:pStyle w:val="Compact"/>
                    <w:jc w:val="left"/>
                    <w:jc w:val="center"/>
                  </w:pPr>
                  <w:r>
                    <w:t xml:space="preserve">&lt;0.001</w:t>
                  </w:r>
                </w:p>
              </w:tc>
            </w:tr>
            <w:tr>
              <w:tc>
                <w:tcPr/>
                <w:p>
                  <w:pPr>
                    <w:pStyle w:val="Compact"/>
                    <w:jc w:val="left"/>
                    <w:jc w:val="center"/>
                  </w:pPr>
                  <w:r>
                    <w:t xml:space="preserve">% Unemployed</w:t>
                  </w:r>
                </w:p>
              </w:tc>
              <w:tc>
                <w:tcPr/>
                <w:p>
                  <w:pPr>
                    <w:pStyle w:val="Compact"/>
                    <w:jc w:val="left"/>
                    <w:jc w:val="center"/>
                  </w:pPr>
                  <w:r>
                    <w:t xml:space="preserve">32.7</w:t>
                  </w:r>
                </w:p>
              </w:tc>
              <w:tc>
                <w:tcPr/>
                <w:p>
                  <w:pPr>
                    <w:pStyle w:val="Compact"/>
                    <w:jc w:val="left"/>
                    <w:jc w:val="center"/>
                  </w:pPr>
                  <w:r>
                    <w:t xml:space="preserve">27.7 – 37.7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c>
                <w:tcPr/>
                <w:p>
                  <w:pPr>
                    <w:pStyle w:val="Compact"/>
                    <w:jc w:val="left"/>
                    <w:jc w:val="center"/>
                  </w:pPr>
                  <w:r>
                    <w:t xml:space="preserve">13.0</w:t>
                  </w:r>
                </w:p>
              </w:tc>
              <w:tc>
                <w:tcPr/>
                <w:p>
                  <w:pPr>
                    <w:pStyle w:val="Compact"/>
                    <w:jc w:val="left"/>
                    <w:jc w:val="center"/>
                  </w:pPr>
                  <w:r>
                    <w:t xml:space="preserve">9.7 – 16.4</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0.049 / 0.271</w:t>
                  </w:r>
                </w:p>
              </w:tc>
              <w:tc>
                <w:tcPr/>
                <w:p>
                  <w:pPr>
                    <w:pStyle w:val="Compact"/>
                  </w:pPr>
                </w:p>
              </w:tc>
              <w:tc>
                <w:tcPr/>
                <w:p>
                  <w:pPr>
                    <w:pStyle w:val="Compact"/>
                  </w:pPr>
                </w:p>
              </w:tc>
              <w:tc>
                <w:tcPr/>
                <w:p>
                  <w:pPr>
                    <w:pStyle w:val="Compact"/>
                    <w:jc w:val="left"/>
                    <w:jc w:val="center"/>
                  </w:pPr>
                  <w:r>
                    <w:t xml:space="preserve">0.030 / 0.240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44494.841</w:t>
                  </w:r>
                </w:p>
              </w:tc>
              <w:tc>
                <w:tcPr/>
                <w:p>
                  <w:pPr>
                    <w:pStyle w:val="Compact"/>
                  </w:pPr>
                </w:p>
              </w:tc>
              <w:tc>
                <w:tcPr/>
                <w:p>
                  <w:pPr>
                    <w:pStyle w:val="Compact"/>
                  </w:pPr>
                </w:p>
              </w:tc>
              <w:tc>
                <w:tcPr/>
                <w:p>
                  <w:pPr>
                    <w:pStyle w:val="Compact"/>
                    <w:jc w:val="left"/>
                    <w:jc w:val="center"/>
                  </w:pPr>
                  <w:r>
                    <w:t xml:space="preserve">44598.291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p, p-values; CI, 95% confidence interval.</w:t>
            </w:r>
          </w:p>
          <w:bookmarkEnd w:id="32"/>
        </w:tc>
      </w:tr>
    </w:tbl>
    <w:bookmarkEnd w:id="33"/>
    <w:bookmarkStart w:id="34" w:name="basic-statistical-analysis"/>
    <w:p>
      <w:pPr>
        <w:pStyle w:val="Heading2"/>
      </w:pPr>
      <w:r>
        <w:t xml:space="preserve">4.2 Basic statistical analysis</w:t>
      </w:r>
    </w:p>
    <w:bookmarkEnd w:id="34"/>
    <w:bookmarkStart w:id="35" w:name="full-analysis"/>
    <w:p>
      <w:pPr>
        <w:pStyle w:val="Heading2"/>
      </w:pPr>
      <w:r>
        <w:t xml:space="preserve">4.3 Full analysis</w:t>
      </w:r>
    </w:p>
    <w:p>
      <w:r>
        <w:br w:type="page"/>
      </w:r>
    </w:p>
    <w:bookmarkEnd w:id="35"/>
    <w:bookmarkEnd w:id="36"/>
    <w:bookmarkStart w:id="40" w:name="discussion"/>
    <w:p>
      <w:pPr>
        <w:pStyle w:val="Heading1"/>
      </w:pPr>
      <w:r>
        <w:t xml:space="preserve">5. Discussion</w:t>
      </w:r>
    </w:p>
    <w:bookmarkStart w:id="37" w:name="summary-and-interpretation"/>
    <w:p>
      <w:pPr>
        <w:pStyle w:val="Heading2"/>
      </w:pPr>
      <w:r>
        <w:t xml:space="preserve">5.1 Summary and Interpretation</w:t>
      </w:r>
    </w:p>
    <w:bookmarkEnd w:id="37"/>
    <w:bookmarkStart w:id="38" w:name="strengths-and-limitations"/>
    <w:p>
      <w:pPr>
        <w:pStyle w:val="Heading2"/>
      </w:pPr>
      <w:r>
        <w:t xml:space="preserve">5.2 Strengths and Limitations</w:t>
      </w:r>
    </w:p>
    <w:bookmarkEnd w:id="38"/>
    <w:bookmarkStart w:id="39" w:name="conclusions"/>
    <w:p>
      <w:pPr>
        <w:pStyle w:val="Heading2"/>
      </w:pPr>
      <w:r>
        <w:t xml:space="preserve">5.3 Conclusions</w:t>
      </w:r>
    </w:p>
    <w:bookmarkEnd w:id="39"/>
    <w:bookmarkEnd w:id="40"/>
    <w:bookmarkStart w:id="46" w:name="references"/>
    <w:p>
      <w:pPr>
        <w:pStyle w:val="Heading1"/>
      </w:pPr>
      <w:r>
        <w:t xml:space="preserve">6. References</w:t>
      </w:r>
    </w:p>
    <w:bookmarkStart w:id="45" w:name="refs"/>
    <w:bookmarkStart w:id="42"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1">
        <w:r>
          <w:rPr>
            <w:rStyle w:val="Hyperlink"/>
          </w:rPr>
          <w:t xml:space="preserve">https://doi.org/10.1136/bmjopen-2017-019252</w:t>
        </w:r>
      </w:hyperlink>
    </w:p>
    <w:bookmarkEnd w:id="42"/>
    <w:bookmarkStart w:id="44"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43">
        <w:r>
          <w:rPr>
            <w:rStyle w:val="Hyperlink"/>
          </w:rPr>
          <w:t xml:space="preserve">https://doi.org/10.1001/jama.2023.3517</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43" Target="https://doi.org/10.1001/jama.2023.3517" TargetMode="External" /><Relationship Type="http://schemas.openxmlformats.org/officeDocument/2006/relationships/hyperlink" Id="rId41" Target="https://doi.org/10.1136/bmjopen-2017-019252"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1/jama.2023.3517" TargetMode="External" /><Relationship Type="http://schemas.openxmlformats.org/officeDocument/2006/relationships/hyperlink" Id="rId41" Target="https://doi.org/10.1136/bmjopen-2017-0192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2024-03-16T01:09:41Z</dcterms:created>
  <dcterms:modified xsi:type="dcterms:W3CDTF">2024-03-16T01:09:41Z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2024-03-15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