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All-cause</w:t>
      </w:r>
      <w:r>
        <w:t xml:space="preserve"> </w:t>
      </w:r>
      <w:r>
        <w:t xml:space="preserve">Mortality</w:t>
      </w:r>
      <w:r>
        <w:t xml:space="preserve"> </w:t>
      </w:r>
      <w:r>
        <w:t xml:space="preserve">Rates</w:t>
      </w:r>
      <w:r>
        <w:t xml:space="preserve"> </w:t>
      </w:r>
      <w:r>
        <w:t xml:space="preserve">and</w:t>
      </w:r>
      <w:r>
        <w:t xml:space="preserve"> </w:t>
      </w:r>
      <w:r>
        <w:t xml:space="preserve">Primary</w:t>
      </w:r>
      <w:r>
        <w:t xml:space="preserve"> </w:t>
      </w:r>
      <w:r>
        <w:t xml:space="preserve">Care</w:t>
      </w:r>
      <w:r>
        <w:t xml:space="preserve"> </w:t>
      </w:r>
      <w:r>
        <w:t xml:space="preserve">Physician</w:t>
      </w:r>
      <w:r>
        <w:t xml:space="preserve"> </w:t>
      </w:r>
      <w:r>
        <w:t xml:space="preserve">Supply</w:t>
      </w:r>
      <w:r>
        <w:t xml:space="preserve"> </w:t>
      </w:r>
      <w:r>
        <w:t xml:space="preserve">in</w:t>
      </w:r>
      <w:r>
        <w:t xml:space="preserve"> </w:t>
      </w:r>
      <w:r>
        <w:t xml:space="preserve">US</w:t>
      </w:r>
      <w:r>
        <w:t xml:space="preserve"> </w:t>
      </w:r>
      <w:r>
        <w:t xml:space="preserve">Counties</w:t>
      </w:r>
      <w:r>
        <w:t xml:space="preserve"> </w:t>
      </w:r>
      <w:r>
        <w:t xml:space="preserve">2021</w:t>
      </w:r>
    </w:p>
    <w:p>
      <w:pPr>
        <w:pStyle w:val="Author"/>
      </w:pPr>
      <w:r>
        <w:t xml:space="preserve">Chaohua</w:t>
      </w:r>
      <w:r>
        <w:t xml:space="preserve"> </w:t>
      </w:r>
      <w:r>
        <w:t xml:space="preserve">Li</w:t>
      </w:r>
    </w:p>
    <w:p>
      <w:pPr>
        <w:pStyle w:val="Date"/>
      </w:pPr>
      <w:r>
        <w:t xml:space="preserve">2024-02-23</w:t>
      </w:r>
    </w:p>
    <w:bookmarkStart w:id="20" w:name="summaryabstract"/>
    <w:p>
      <w:pPr>
        <w:pStyle w:val="Heading1"/>
      </w:pPr>
      <w:r>
        <w:t xml:space="preserve">1. Summary/Abstract</w:t>
      </w:r>
    </w:p>
    <w:p>
      <w:pPr>
        <w:pStyle w:val="FirstParagraph"/>
      </w:pPr>
      <w:r>
        <w:t xml:space="preserve">In this project, I will conduct a cross-sectional study on the county level and examine the potential association between age-adjusted all-cause mortality rate and primary care physician supply for US counties. A multilevel linear model will be used, and multiple potential confounders will be accounted for in the model.</w:t>
      </w:r>
    </w:p>
    <w:p>
      <w:r>
        <w:br w:type="page"/>
      </w:r>
    </w:p>
    <w:bookmarkEnd w:id="20"/>
    <w:bookmarkStart w:id="22"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t xml:space="preserve">The all-cause mortality rate is an important indicator of general population health. Although the age-adjusted all-cause mortality rate consistently declined in the US from 1935 to 2014, a notable increasing trend after 2015 has been observed</w:t>
      </w:r>
      <w:r>
        <w:t xml:space="preserve"> </w:t>
      </w:r>
      <w:r>
        <w:t xml:space="preserve">(Woolf, Wolf, &amp; Rivara, 2023)</w:t>
      </w:r>
      <w:r>
        <w:t xml:space="preserve">. Personal level access to primary care is highly associated with mortality, morbidity, and healthcare costs</w:t>
      </w:r>
      <w:r>
        <w:t xml:space="preserve"> </w:t>
      </w:r>
      <w:r>
        <w:t xml:space="preserve">(Peart, Lewis, Brown, &amp; Russell, 2018)</w:t>
      </w:r>
      <w:r>
        <w:t xml:space="preserve">. There is a need to study how primary care physician supply on the geographic levels is associated with all-cause mortality rates in the US.</w:t>
      </w:r>
    </w:p>
    <w:p>
      <w:pPr>
        <w:pStyle w:val="BodyText"/>
      </w:pPr>
      <w:r>
        <w:t xml:space="preserve">My hypothesis is that primary care physician supply is negatively associated with age-adjusted all-cause mortality rate among US counties.Since counties can be considered nested within states or regions, a multilevel linear model will be used. The dependent variable will be mortality rate, main predictor will be primary care physician supply, and the socioeconomic measures will be the covariates in the model.</w:t>
      </w:r>
    </w:p>
    <w:p>
      <w:r>
        <w:br w:type="page"/>
      </w:r>
    </w:p>
    <w:bookmarkEnd w:id="21"/>
    <w:bookmarkEnd w:id="22"/>
    <w:bookmarkStart w:id="23" w:name="methods"/>
    <w:p>
      <w:pPr>
        <w:pStyle w:val="Heading1"/>
      </w:pPr>
      <w:r>
        <w:t xml:space="preserve">3. Methods</w:t>
      </w:r>
    </w:p>
    <w:p>
      <w:pPr>
        <w:pStyle w:val="FirstParagraph"/>
      </w:pPr>
      <w:r>
        <w:t xml:space="preserve">Three data sources were used for this study. (1) Multiple Cause of Death File of 2021 from CDC WONDER (https://wonder.cdc.gov/mcd.html). I will obtain county-level age-adjusted all-cause mortality rates (deaths/100k people) from this source. (2) Area Health Resource File of 2021 from U.S. Department of Health &amp; Human Services (https://data.hrsa.gov/data/download). I will obtain county-level primary care physician supply (physicians/100k people) and rural/urban categorization of the county from this file. (3) estimates of 2021 from 2017-2021 5-year American Community Survey (https://www.nhgis.org/). I will obtain states, regions, and some county-level socioeconomic measures as potential confounders for modeling. These measures may include %Living under poverty line, %Without a high school diploma, %Hispanic, %NH-Black, %Unemployed, %Without health insurance, and so on. Data from the three sources will be merged by using the FIPS code which serves as the ID for counties.</w:t>
      </w:r>
    </w:p>
    <w:p>
      <w:r>
        <w:br w:type="page"/>
      </w:r>
    </w:p>
    <w:bookmarkEnd w:id="23"/>
    <w:bookmarkStart w:id="41" w:name="results"/>
    <w:p>
      <w:pPr>
        <w:pStyle w:val="Heading1"/>
      </w:pPr>
      <w:r>
        <w:t xml:space="preserve">4. Results</w:t>
      </w:r>
    </w:p>
    <w:bookmarkStart w:id="38" w:name="exploratory-analysis"/>
    <w:p>
      <w:pPr>
        <w:pStyle w:val="Heading2"/>
      </w:pPr>
      <w:r>
        <w:t xml:space="preserve">4.1 Exploratory analysis</w:t>
      </w:r>
    </w:p>
    <w:tbl>
      <w:tblPr>
        <w:tblStyle w:val="Table"/>
        <w:tblW w:type="pct" w:w="5000"/>
        <w:tblLook w:firstRow="0" w:lastRow="0" w:firstColumn="0" w:lastColumn="0" w:noHBand="0" w:noVBand="0" w:val="0000"/>
        <w:jc w:val="start"/>
        <w:tblLayout w:type="fixed"/>
      </w:tblPr>
      <w:tblGrid>
        <w:gridCol w:w="7920"/>
      </w:tblGrid>
      <w:tr>
        <w:tc>
          <w:tcPr/>
          <w:bookmarkStart w:id="24" w:name="tbl-schematic1"/>
          <w:p>
            <w:pPr>
              <w:jc w:val="center"/>
            </w:pPr>
            <w:pPr>
              <w:jc w:val="start"/>
              <w:spacing w:before="200"/>
              <w:pStyle w:val="ImageCaption"/>
            </w:pPr>
            <w:r>
              <w:t xml:space="preserve">Table 1: Data summary table.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rPr>
                      <w:bCs/>
                      <w:b/>
                    </w:rPr>
                    <w:t xml:space="preserve">Characteristic</w:t>
                  </w:r>
                </w:p>
              </w:tc>
              <w:tc>
                <w:tcPr/>
                <w:p>
                  <w:pPr>
                    <w:pStyle w:val="Compact"/>
                    <w:jc w:val="left"/>
                    <w:jc w:val="center"/>
                  </w:pPr>
                  <w:r>
                    <w:rPr>
                      <w:bCs/>
                      <w:b/>
                    </w:rPr>
                    <w:t xml:space="preserve">N = 3,079</w:t>
                  </w:r>
                </w:p>
              </w:tc>
            </w:tr>
            <w:tr>
              <w:tc>
                <w:tcPr/>
                <w:p>
                  <w:pPr>
                    <w:pStyle w:val="Compact"/>
                    <w:jc w:val="left"/>
                    <w:jc w:val="center"/>
                  </w:pPr>
                  <w:r>
                    <w:t xml:space="preserve">Rate2</w:t>
                  </w:r>
                </w:p>
              </w:tc>
              <w:tc>
                <w:tcPr/>
                <w:p>
                  <w:pPr>
                    <w:pStyle w:val="Compact"/>
                    <w:jc w:val="left"/>
                    <w:jc w:val="center"/>
                  </w:pPr>
                  <w:r>
                    <w:t xml:space="preserve">1,376/368</w:t>
                  </w:r>
                </w:p>
              </w:tc>
            </w:tr>
            <w:tr>
              <w:tc>
                <w:tcPr/>
                <w:p>
                  <w:pPr>
                    <w:pStyle w:val="Compact"/>
                    <w:jc w:val="left"/>
                    <w:jc w:val="center"/>
                  </w:pPr>
                  <w:r>
                    <w:t xml:space="preserve">Phys,Primary Care, Patient Care Non-Fed 2021</w:t>
                  </w:r>
                </w:p>
              </w:tc>
              <w:tc>
                <w:tcPr/>
                <w:p>
                  <w:pPr>
                    <w:pStyle w:val="Compact"/>
                    <w:jc w:val="left"/>
                    <w:jc w:val="center"/>
                  </w:pPr>
                  <w:r>
                    <w:t xml:space="preserve">51/37</w:t>
                  </w:r>
                </w:p>
              </w:tc>
            </w:tr>
            <w:tr>
              <w:tc>
                <w:tcPr/>
                <w:p>
                  <w:pPr>
                    <w:pStyle w:val="Compact"/>
                    <w:jc w:val="left"/>
                    <w:jc w:val="center"/>
                  </w:pPr>
                  <w:r>
                    <w:t xml:space="preserve">metro</w:t>
                  </w:r>
                </w:p>
              </w:tc>
              <w:tc>
                <w:tcPr/>
                <w:p>
                  <w:pPr>
                    <w:pStyle w:val="Compact"/>
                    <w:jc w:val="left"/>
                    <w:jc w:val="center"/>
                  </w:pPr>
                  <w:r>
                    <w:t xml:space="preserve">NA</w:t>
                  </w:r>
                </w:p>
              </w:tc>
            </w:tr>
            <w:tr>
              <w:tc>
                <w:tcPr/>
                <w:p>
                  <w:pPr>
                    <w:pStyle w:val="Compact"/>
                    <w:jc w:val="left"/>
                    <w:jc w:val="center"/>
                  </w:pPr>
                  <w:r>
                    <w:t xml:space="preserve">0</w:t>
                  </w:r>
                </w:p>
              </w:tc>
              <w:tc>
                <w:tcPr/>
                <w:p>
                  <w:pPr>
                    <w:pStyle w:val="Compact"/>
                    <w:jc w:val="left"/>
                    <w:jc w:val="center"/>
                  </w:pPr>
                  <w:r>
                    <w:t xml:space="preserve">1,917 / 3,079 (62%)</w:t>
                  </w:r>
                </w:p>
              </w:tc>
            </w:tr>
            <w:tr>
              <w:tc>
                <w:tcPr/>
                <w:p>
                  <w:pPr>
                    <w:pStyle w:val="Compact"/>
                    <w:jc w:val="left"/>
                    <w:jc w:val="center"/>
                  </w:pPr>
                  <w:r>
                    <w:t xml:space="preserve">1</w:t>
                  </w:r>
                </w:p>
              </w:tc>
              <w:tc>
                <w:tcPr/>
                <w:p>
                  <w:pPr>
                    <w:pStyle w:val="Compact"/>
                    <w:jc w:val="left"/>
                    <w:jc w:val="center"/>
                  </w:pPr>
                  <w:r>
                    <w:t xml:space="preserve">1,162 / 3,079 (38%)</w:t>
                  </w:r>
                </w:p>
              </w:tc>
            </w:tr>
            <w:tr>
              <w:tc>
                <w:tcPr/>
                <w:p>
                  <w:pPr>
                    <w:pStyle w:val="Compact"/>
                    <w:jc w:val="left"/>
                    <w:jc w:val="center"/>
                  </w:pPr>
                  <w:r>
                    <w:t xml:space="preserve">hispanic_pct</w:t>
                  </w:r>
                </w:p>
              </w:tc>
              <w:tc>
                <w:tcPr/>
                <w:p>
                  <w:pPr>
                    <w:pStyle w:val="Compact"/>
                    <w:jc w:val="left"/>
                    <w:jc w:val="center"/>
                  </w:pPr>
                  <w:r>
                    <w:t xml:space="preserve">10/14</w:t>
                  </w:r>
                </w:p>
              </w:tc>
            </w:tr>
            <w:tr>
              <w:tc>
                <w:tcPr/>
                <w:p>
                  <w:pPr>
                    <w:pStyle w:val="Compact"/>
                    <w:jc w:val="left"/>
                    <w:jc w:val="center"/>
                  </w:pPr>
                  <w:r>
                    <w:t xml:space="preserve">NHB_pct</w:t>
                  </w:r>
                </w:p>
              </w:tc>
              <w:tc>
                <w:tcPr/>
                <w:p>
                  <w:pPr>
                    <w:pStyle w:val="Compact"/>
                    <w:jc w:val="left"/>
                    <w:jc w:val="center"/>
                  </w:pPr>
                  <w:r>
                    <w:t xml:space="preserve">9/14</w:t>
                  </w:r>
                </w:p>
              </w:tc>
            </w:tr>
            <w:tr>
              <w:tc>
                <w:tcPr/>
                <w:p>
                  <w:pPr>
                    <w:pStyle w:val="Compact"/>
                    <w:jc w:val="left"/>
                    <w:jc w:val="center"/>
                  </w:pPr>
                  <w:r>
                    <w:t xml:space="preserve">noHS_pct</w:t>
                  </w:r>
                </w:p>
              </w:tc>
              <w:tc>
                <w:tcPr/>
                <w:p>
                  <w:pPr>
                    <w:pStyle w:val="Compact"/>
                    <w:jc w:val="left"/>
                    <w:jc w:val="center"/>
                  </w:pPr>
                  <w:r>
                    <w:t xml:space="preserve">12.1/5.8</w:t>
                  </w:r>
                </w:p>
              </w:tc>
            </w:tr>
            <w:tr>
              <w:tc>
                <w:tcPr/>
                <w:p>
                  <w:pPr>
                    <w:pStyle w:val="Compact"/>
                    <w:jc w:val="left"/>
                    <w:jc w:val="center"/>
                  </w:pPr>
                  <w:r>
                    <w:t xml:space="preserve">poverty_pct</w:t>
                  </w:r>
                </w:p>
              </w:tc>
              <w:tc>
                <w:tcPr/>
                <w:p>
                  <w:pPr>
                    <w:pStyle w:val="Compact"/>
                    <w:jc w:val="left"/>
                    <w:jc w:val="center"/>
                  </w:pPr>
                  <w:r>
                    <w:t xml:space="preserve">14.5/6.1</w:t>
                  </w:r>
                </w:p>
              </w:tc>
            </w:tr>
            <w:tr>
              <w:tc>
                <w:tcPr/>
                <w:p>
                  <w:pPr>
                    <w:pStyle w:val="Compact"/>
                    <w:jc w:val="left"/>
                    <w:jc w:val="center"/>
                  </w:pPr>
                  <w:r>
                    <w:t xml:space="preserve">unemployed_pct</w:t>
                  </w:r>
                </w:p>
              </w:tc>
              <w:tc>
                <w:tcPr/>
                <w:p>
                  <w:pPr>
                    <w:pStyle w:val="Compact"/>
                    <w:jc w:val="left"/>
                    <w:jc w:val="center"/>
                  </w:pPr>
                  <w:r>
                    <w:t xml:space="preserve">5.27/2.59</w:t>
                  </w:r>
                </w:p>
              </w:tc>
            </w:tr>
            <w:tr>
              <w:tc>
                <w:tcPr/>
                <w:p>
                  <w:pPr>
                    <w:pStyle w:val="Compact"/>
                    <w:jc w:val="left"/>
                    <w:jc w:val="center"/>
                  </w:pPr>
                  <w:r>
                    <w:t xml:space="preserve">uninsured_pct</w:t>
                  </w:r>
                </w:p>
              </w:tc>
              <w:tc>
                <w:tcPr/>
                <w:p>
                  <w:pPr>
                    <w:pStyle w:val="Compact"/>
                    <w:jc w:val="left"/>
                    <w:jc w:val="center"/>
                  </w:pPr>
                  <w:r>
                    <w:t xml:space="preserve">9.6/5.0</w:t>
                  </w:r>
                </w:p>
              </w:tc>
            </w:tr>
          </w:tbl>
          <w:bookmarkEnd w:id="24"/>
          <w:p/>
        </w:tc>
      </w:tr>
    </w:tbl>
    <w:tbl>
      <w:tblPr>
        <w:tblStyle w:val="Table"/>
        <w:tblW w:type="pct" w:w="5000"/>
        <w:tblLook w:firstRow="0" w:lastRow="0" w:firstColumn="0" w:lastColumn="0" w:noHBand="0" w:noVBand="0" w:val="0000"/>
        <w:jc w:val="start"/>
        <w:tblLayout w:type="fixed"/>
      </w:tblPr>
      <w:tblGrid>
        <w:gridCol w:w="7920"/>
      </w:tblGrid>
      <w:tr>
        <w:tc>
          <w:tcPr/>
          <w:bookmarkStart w:id="28" w:name="fig-schematic1"/>
          <w:p>
            <w:pPr>
              <w:pStyle w:val="Compact"/>
              <w:jc w:val="center"/>
            </w:pPr>
            <w:r>
              <w:drawing>
                <wp:inline>
                  <wp:extent cx="5334000" cy="5334000"/>
                  <wp:effectExtent b="0" l="0" r="0" t="0"/>
                  <wp:docPr descr="" title="" id="26" name="Picture"/>
                  <a:graphic>
                    <a:graphicData uri="http://schemas.openxmlformats.org/drawingml/2006/picture">
                      <pic:pic>
                        <pic:nvPicPr>
                          <pic:cNvPr descr="../../results/exploratory/combined_histogram.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Distributions in the nurmeric variables.</w:t>
            </w:r>
          </w:p>
          <w:bookmarkEnd w:id="28"/>
        </w:tc>
      </w:tr>
    </w:tbl>
    <w:p>
      <w:pPr>
        <w:pStyle w:val="BodyText"/>
      </w:pPr>
      <w:r>
        <w:t xml:space="preserve">From the histograms, we can tell the distribution for the outcome (mortality rate) is fairly normal. Distributions for PCP supply, %Hispanic and %NH-Black are very skewed. We probably have to log-transform PCP supply.</w:t>
      </w:r>
    </w:p>
    <w:tbl>
      <w:tblPr>
        <w:tblStyle w:val="Table"/>
        <w:tblW w:type="pct" w:w="5000"/>
        <w:tblLook w:firstRow="0" w:lastRow="0" w:firstColumn="0" w:lastColumn="0" w:noHBand="0" w:noVBand="0" w:val="0000"/>
        <w:jc w:val="start"/>
        <w:tblLayout w:type="fixed"/>
      </w:tblPr>
      <w:tblGrid>
        <w:gridCol w:w="7920"/>
      </w:tblGrid>
      <w:tr>
        <w:tc>
          <w:tcPr/>
          <w:bookmarkStart w:id="32" w:name="fig-schematic2"/>
          <w:p>
            <w:pPr>
              <w:pStyle w:val="Compact"/>
              <w:jc w:val="center"/>
            </w:pPr>
            <w:r>
              <w:drawing>
                <wp:inline>
                  <wp:extent cx="5334000" cy="3807460"/>
                  <wp:effectExtent b="0" l="0" r="0" t="0"/>
                  <wp:docPr descr="" title="" id="30" name="Picture"/>
                  <a:graphic>
                    <a:graphicData uri="http://schemas.openxmlformats.org/drawingml/2006/picture">
                      <pic:pic>
                        <pic:nvPicPr>
                          <pic:cNvPr descr="../../results/exploratory/rate_pcp1.png" id="31" name="Picture"/>
                          <pic:cNvPicPr>
                            <a:picLocks noChangeArrowheads="1" noChangeAspect="1"/>
                          </pic:cNvPicPr>
                        </pic:nvPicPr>
                        <pic:blipFill>
                          <a:blip r:embed="rId29"/>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Scatterplot of Mortality Rate and Log(PCP Supply).</w:t>
            </w:r>
          </w:p>
          <w:bookmarkEnd w:id="32"/>
        </w:tc>
      </w:tr>
    </w:tbl>
    <w:p>
      <w:pPr>
        <w:pStyle w:val="BodyText"/>
      </w:pPr>
      <w:r>
        <w:t xml:space="preserve">There seems to be a linear relationship between Mortality Rate and log(PCP supply). Linear regression might be suitable for analysis.</w:t>
      </w:r>
    </w:p>
    <w:tbl>
      <w:tblPr>
        <w:tblStyle w:val="Table"/>
        <w:tblW w:type="pct" w:w="5000"/>
        <w:tblLook w:firstRow="0" w:lastRow="0" w:firstColumn="0" w:lastColumn="0" w:noHBand="0" w:noVBand="0" w:val="0000"/>
        <w:jc w:val="start"/>
        <w:tblLayout w:type="fixed"/>
      </w:tblPr>
      <w:tblGrid>
        <w:gridCol w:w="7920"/>
      </w:tblGrid>
      <w:tr>
        <w:tc>
          <w:tcPr/>
          <w:bookmarkStart w:id="36" w:name="fig-schematic3"/>
          <w:p>
            <w:pPr>
              <w:pStyle w:val="Compact"/>
              <w:jc w:val="center"/>
            </w:pPr>
            <w:r>
              <w:drawing>
                <wp:inline>
                  <wp:extent cx="5334000" cy="3807460"/>
                  <wp:effectExtent b="0" l="0" r="0" t="0"/>
                  <wp:docPr descr="" title="" id="34" name="Picture"/>
                  <a:graphic>
                    <a:graphicData uri="http://schemas.openxmlformats.org/drawingml/2006/picture">
                      <pic:pic>
                        <pic:nvPicPr>
                          <pic:cNvPr descr="../../results/exploratory/rate_pcp2.png" id="35" name="Picture"/>
                          <pic:cNvPicPr>
                            <a:picLocks noChangeArrowheads="1" noChangeAspect="1"/>
                          </pic:cNvPicPr>
                        </pic:nvPicPr>
                        <pic:blipFill>
                          <a:blip r:embed="rId33"/>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Mortality Rate and Log(PCP Supply) by Metro Status.</w:t>
            </w:r>
          </w:p>
          <w:bookmarkEnd w:id="36"/>
        </w:tc>
      </w:tr>
    </w:tbl>
    <w:p>
      <w:pPr>
        <w:pStyle w:val="BodyText"/>
      </w:pPr>
      <w:r>
        <w:t xml:space="preserve">The relationship looks similar for the metro and non-metro counties. Maybe there is no interaction by metro status.</w:t>
      </w:r>
    </w:p>
    <w:tbl>
      <w:tblPr>
        <w:tblStyle w:val="Table"/>
        <w:tblW w:type="pct" w:w="5000"/>
        <w:tblLook w:firstRow="0" w:lastRow="0" w:firstColumn="0" w:lastColumn="0" w:noHBand="0" w:noVBand="0" w:val="0000"/>
        <w:jc w:val="start"/>
        <w:tblLayout w:type="fixed"/>
      </w:tblPr>
      <w:tblGrid>
        <w:gridCol w:w="7920"/>
      </w:tblGrid>
      <w:tr>
        <w:tc>
          <w:tcPr/>
          <w:bookmarkStart w:id="37" w:name="tbl-schematic2"/>
          <w:p>
            <w:pPr>
              <w:jc w:val="center"/>
            </w:pPr>
            <w:pPr>
              <w:jc w:val="start"/>
              <w:spacing w:before="200"/>
              <w:pStyle w:val="ImageCaption"/>
            </w:pPr>
            <w:r>
              <w:t xml:space="preserve">Table 2: Correlations among covariates.</w:t>
            </w:r>
          </w:p>
          <w:tbl>
            <w:tblPr>
              <w:tblStyle w:val="Table"/>
              <w:tblW w:type="pct" w:w="5000"/>
              <w:tblLook w:firstRow="1" w:lastRow="0" w:firstColumn="0" w:lastColumn="0" w:noHBand="0" w:noVBand="0" w:val="0020"/>
              <w:jc w:val="start"/>
              <w:tblLayout w:type="fixed"/>
            </w:tblPr>
            <w:tblGrid>
              <w:gridCol w:w="1320"/>
              <w:gridCol w:w="1144"/>
              <w:gridCol w:w="968"/>
              <w:gridCol w:w="880"/>
              <w:gridCol w:w="1056"/>
              <w:gridCol w:w="1320"/>
              <w:gridCol w:w="1232"/>
            </w:tblGrid>
            <w:tr>
              <w:trPr>
                <w:tblHeader w:val="true"/>
              </w:trPr>
              <w:tc>
                <w:tcPr/>
                <w:p>
                  <w:pPr>
                    <w:pStyle w:val="Compact"/>
                  </w:pPr>
                </w:p>
              </w:tc>
              <w:tc>
                <w:tcPr/>
                <w:p>
                  <w:pPr>
                    <w:pStyle w:val="Compact"/>
                    <w:jc w:val="right"/>
                    <w:jc w:val="center"/>
                  </w:pPr>
                  <w:r>
                    <w:t xml:space="preserve">hispanic_pct</w:t>
                  </w:r>
                </w:p>
              </w:tc>
              <w:tc>
                <w:tcPr/>
                <w:p>
                  <w:pPr>
                    <w:pStyle w:val="Compact"/>
                    <w:jc w:val="right"/>
                    <w:jc w:val="center"/>
                  </w:pPr>
                  <w:r>
                    <w:t xml:space="preserve">NHB_pct</w:t>
                  </w:r>
                </w:p>
              </w:tc>
              <w:tc>
                <w:tcPr/>
                <w:p>
                  <w:pPr>
                    <w:pStyle w:val="Compact"/>
                    <w:jc w:val="right"/>
                    <w:jc w:val="center"/>
                  </w:pPr>
                  <w:r>
                    <w:t xml:space="preserve">noHS_pct</w:t>
                  </w:r>
                </w:p>
              </w:tc>
              <w:tc>
                <w:tcPr/>
                <w:p>
                  <w:pPr>
                    <w:pStyle w:val="Compact"/>
                    <w:jc w:val="right"/>
                    <w:jc w:val="center"/>
                  </w:pPr>
                  <w:r>
                    <w:t xml:space="preserve">poverty_pct</w:t>
                  </w:r>
                </w:p>
              </w:tc>
              <w:tc>
                <w:tcPr/>
                <w:p>
                  <w:pPr>
                    <w:pStyle w:val="Compact"/>
                    <w:jc w:val="right"/>
                    <w:jc w:val="center"/>
                  </w:pPr>
                  <w:r>
                    <w:t xml:space="preserve">unemployed_pct</w:t>
                  </w:r>
                </w:p>
              </w:tc>
              <w:tc>
                <w:tcPr/>
                <w:p>
                  <w:pPr>
                    <w:pStyle w:val="Compact"/>
                    <w:jc w:val="right"/>
                    <w:jc w:val="center"/>
                  </w:pPr>
                  <w:r>
                    <w:t xml:space="preserve">uninsured_pct</w:t>
                  </w:r>
                </w:p>
              </w:tc>
            </w:tr>
            <w:tr>
              <w:tc>
                <w:tcPr/>
                <w:p>
                  <w:pPr>
                    <w:pStyle w:val="Compact"/>
                    <w:jc w:val="left"/>
                    <w:jc w:val="center"/>
                  </w:pPr>
                  <w:r>
                    <w:t xml:space="preserve">hispanic_pct</w:t>
                  </w:r>
                </w:p>
              </w:tc>
              <w:tc>
                <w:tcPr/>
                <w:p>
                  <w:pPr>
                    <w:pStyle w:val="Compact"/>
                    <w:jc w:val="right"/>
                    <w:jc w:val="center"/>
                  </w:pPr>
                  <w:r>
                    <w:t xml:space="preserve">1.0000000</w:t>
                  </w:r>
                </w:p>
              </w:tc>
              <w:tc>
                <w:tcPr/>
                <w:p>
                  <w:pPr>
                    <w:pStyle w:val="Compact"/>
                    <w:jc w:val="right"/>
                    <w:jc w:val="center"/>
                  </w:pPr>
                  <w:r>
                    <w:t xml:space="preserve">-0.1152436</w:t>
                  </w:r>
                </w:p>
              </w:tc>
              <w:tc>
                <w:tcPr/>
                <w:p>
                  <w:pPr>
                    <w:pStyle w:val="Compact"/>
                    <w:jc w:val="right"/>
                    <w:jc w:val="center"/>
                  </w:pPr>
                  <w:r>
                    <w:t xml:space="preserve">0.4163789</w:t>
                  </w:r>
                </w:p>
              </w:tc>
              <w:tc>
                <w:tcPr/>
                <w:p>
                  <w:pPr>
                    <w:pStyle w:val="Compact"/>
                    <w:jc w:val="right"/>
                    <w:jc w:val="center"/>
                  </w:pPr>
                  <w:r>
                    <w:t xml:space="preserve">0.0744451</w:t>
                  </w:r>
                </w:p>
              </w:tc>
              <w:tc>
                <w:tcPr/>
                <w:p>
                  <w:pPr>
                    <w:pStyle w:val="Compact"/>
                    <w:jc w:val="right"/>
                    <w:jc w:val="center"/>
                  </w:pPr>
                  <w:r>
                    <w:t xml:space="preserve">0.0437684</w:t>
                  </w:r>
                </w:p>
              </w:tc>
              <w:tc>
                <w:tcPr/>
                <w:p>
                  <w:pPr>
                    <w:pStyle w:val="Compact"/>
                    <w:jc w:val="right"/>
                    <w:jc w:val="center"/>
                  </w:pPr>
                  <w:r>
                    <w:t xml:space="preserve">0.3863902</w:t>
                  </w:r>
                </w:p>
              </w:tc>
            </w:tr>
            <w:tr>
              <w:tc>
                <w:tcPr/>
                <w:p>
                  <w:pPr>
                    <w:pStyle w:val="Compact"/>
                    <w:jc w:val="left"/>
                    <w:jc w:val="center"/>
                  </w:pPr>
                  <w:r>
                    <w:t xml:space="preserve">NHB_pct</w:t>
                  </w:r>
                </w:p>
              </w:tc>
              <w:tc>
                <w:tcPr/>
                <w:p>
                  <w:pPr>
                    <w:pStyle w:val="Compact"/>
                    <w:jc w:val="right"/>
                    <w:jc w:val="center"/>
                  </w:pPr>
                  <w:r>
                    <w:t xml:space="preserve">-0.1152436</w:t>
                  </w:r>
                </w:p>
              </w:tc>
              <w:tc>
                <w:tcPr/>
                <w:p>
                  <w:pPr>
                    <w:pStyle w:val="Compact"/>
                    <w:jc w:val="right"/>
                    <w:jc w:val="center"/>
                  </w:pPr>
                  <w:r>
                    <w:t xml:space="preserve">1.0000000</w:t>
                  </w:r>
                </w:p>
              </w:tc>
              <w:tc>
                <w:tcPr/>
                <w:p>
                  <w:pPr>
                    <w:pStyle w:val="Compact"/>
                    <w:jc w:val="right"/>
                    <w:jc w:val="center"/>
                  </w:pPr>
                  <w:r>
                    <w:t xml:space="preserve">0.3066258</w:t>
                  </w:r>
                </w:p>
              </w:tc>
              <w:tc>
                <w:tcPr/>
                <w:p>
                  <w:pPr>
                    <w:pStyle w:val="Compact"/>
                    <w:jc w:val="right"/>
                    <w:jc w:val="center"/>
                  </w:pPr>
                  <w:r>
                    <w:t xml:space="preserve">0.4267227</w:t>
                  </w:r>
                </w:p>
              </w:tc>
              <w:tc>
                <w:tcPr/>
                <w:p>
                  <w:pPr>
                    <w:pStyle w:val="Compact"/>
                    <w:jc w:val="right"/>
                    <w:jc w:val="center"/>
                  </w:pPr>
                  <w:r>
                    <w:t xml:space="preserve">0.3521652</w:t>
                  </w:r>
                </w:p>
              </w:tc>
              <w:tc>
                <w:tcPr/>
                <w:p>
                  <w:pPr>
                    <w:pStyle w:val="Compact"/>
                    <w:jc w:val="right"/>
                    <w:jc w:val="center"/>
                  </w:pPr>
                  <w:r>
                    <w:t xml:space="preserve">0.1481195</w:t>
                  </w:r>
                </w:p>
              </w:tc>
            </w:tr>
            <w:tr>
              <w:tc>
                <w:tcPr/>
                <w:p>
                  <w:pPr>
                    <w:pStyle w:val="Compact"/>
                    <w:jc w:val="left"/>
                    <w:jc w:val="center"/>
                  </w:pPr>
                  <w:r>
                    <w:t xml:space="preserve">noHS_pct</w:t>
                  </w:r>
                </w:p>
              </w:tc>
              <w:tc>
                <w:tcPr/>
                <w:p>
                  <w:pPr>
                    <w:pStyle w:val="Compact"/>
                    <w:jc w:val="right"/>
                    <w:jc w:val="center"/>
                  </w:pPr>
                  <w:r>
                    <w:t xml:space="preserve">0.4163789</w:t>
                  </w:r>
                </w:p>
              </w:tc>
              <w:tc>
                <w:tcPr/>
                <w:p>
                  <w:pPr>
                    <w:pStyle w:val="Compact"/>
                    <w:jc w:val="right"/>
                    <w:jc w:val="center"/>
                  </w:pPr>
                  <w:r>
                    <w:t xml:space="preserve">0.3066258</w:t>
                  </w:r>
                </w:p>
              </w:tc>
              <w:tc>
                <w:tcPr/>
                <w:p>
                  <w:pPr>
                    <w:pStyle w:val="Compact"/>
                    <w:jc w:val="right"/>
                    <w:jc w:val="center"/>
                  </w:pPr>
                  <w:r>
                    <w:t xml:space="preserve">1.0000000</w:t>
                  </w:r>
                </w:p>
              </w:tc>
              <w:tc>
                <w:tcPr/>
                <w:p>
                  <w:pPr>
                    <w:pStyle w:val="Compact"/>
                    <w:jc w:val="right"/>
                    <w:jc w:val="center"/>
                  </w:pPr>
                  <w:r>
                    <w:t xml:space="preserve">0.6063866</w:t>
                  </w:r>
                </w:p>
              </w:tc>
              <w:tc>
                <w:tcPr/>
                <w:p>
                  <w:pPr>
                    <w:pStyle w:val="Compact"/>
                    <w:jc w:val="right"/>
                    <w:jc w:val="center"/>
                  </w:pPr>
                  <w:r>
                    <w:t xml:space="preserve">0.3739226</w:t>
                  </w:r>
                </w:p>
              </w:tc>
              <w:tc>
                <w:tcPr/>
                <w:p>
                  <w:pPr>
                    <w:pStyle w:val="Compact"/>
                    <w:jc w:val="right"/>
                    <w:jc w:val="center"/>
                  </w:pPr>
                  <w:r>
                    <w:t xml:space="preserve">0.5454885</w:t>
                  </w:r>
                </w:p>
              </w:tc>
            </w:tr>
            <w:tr>
              <w:tc>
                <w:tcPr/>
                <w:p>
                  <w:pPr>
                    <w:pStyle w:val="Compact"/>
                    <w:jc w:val="left"/>
                    <w:jc w:val="center"/>
                  </w:pPr>
                  <w:r>
                    <w:t xml:space="preserve">poverty_pct</w:t>
                  </w:r>
                </w:p>
              </w:tc>
              <w:tc>
                <w:tcPr/>
                <w:p>
                  <w:pPr>
                    <w:pStyle w:val="Compact"/>
                    <w:jc w:val="right"/>
                    <w:jc w:val="center"/>
                  </w:pPr>
                  <w:r>
                    <w:t xml:space="preserve">0.0744451</w:t>
                  </w:r>
                </w:p>
              </w:tc>
              <w:tc>
                <w:tcPr/>
                <w:p>
                  <w:pPr>
                    <w:pStyle w:val="Compact"/>
                    <w:jc w:val="right"/>
                    <w:jc w:val="center"/>
                  </w:pPr>
                  <w:r>
                    <w:t xml:space="preserve">0.4267227</w:t>
                  </w:r>
                </w:p>
              </w:tc>
              <w:tc>
                <w:tcPr/>
                <w:p>
                  <w:pPr>
                    <w:pStyle w:val="Compact"/>
                    <w:jc w:val="right"/>
                    <w:jc w:val="center"/>
                  </w:pPr>
                  <w:r>
                    <w:t xml:space="preserve">0.6063866</w:t>
                  </w:r>
                </w:p>
              </w:tc>
              <w:tc>
                <w:tcPr/>
                <w:p>
                  <w:pPr>
                    <w:pStyle w:val="Compact"/>
                    <w:jc w:val="right"/>
                    <w:jc w:val="center"/>
                  </w:pPr>
                  <w:r>
                    <w:t xml:space="preserve">1.0000000</w:t>
                  </w:r>
                </w:p>
              </w:tc>
              <w:tc>
                <w:tcPr/>
                <w:p>
                  <w:pPr>
                    <w:pStyle w:val="Compact"/>
                    <w:jc w:val="right"/>
                    <w:jc w:val="center"/>
                  </w:pPr>
                  <w:r>
                    <w:t xml:space="preserve">0.5641002</w:t>
                  </w:r>
                </w:p>
              </w:tc>
              <w:tc>
                <w:tcPr/>
                <w:p>
                  <w:pPr>
                    <w:pStyle w:val="Compact"/>
                    <w:jc w:val="right"/>
                    <w:jc w:val="center"/>
                  </w:pPr>
                  <w:r>
                    <w:t xml:space="preserve">0.3975236</w:t>
                  </w:r>
                </w:p>
              </w:tc>
            </w:tr>
            <w:tr>
              <w:tc>
                <w:tcPr/>
                <w:p>
                  <w:pPr>
                    <w:pStyle w:val="Compact"/>
                    <w:jc w:val="left"/>
                    <w:jc w:val="center"/>
                  </w:pPr>
                  <w:r>
                    <w:t xml:space="preserve">unemployed_pct</w:t>
                  </w:r>
                </w:p>
              </w:tc>
              <w:tc>
                <w:tcPr/>
                <w:p>
                  <w:pPr>
                    <w:pStyle w:val="Compact"/>
                    <w:jc w:val="right"/>
                    <w:jc w:val="center"/>
                  </w:pPr>
                  <w:r>
                    <w:t xml:space="preserve">0.0437684</w:t>
                  </w:r>
                </w:p>
              </w:tc>
              <w:tc>
                <w:tcPr/>
                <w:p>
                  <w:pPr>
                    <w:pStyle w:val="Compact"/>
                    <w:jc w:val="right"/>
                    <w:jc w:val="center"/>
                  </w:pPr>
                  <w:r>
                    <w:t xml:space="preserve">0.3521652</w:t>
                  </w:r>
                </w:p>
              </w:tc>
              <w:tc>
                <w:tcPr/>
                <w:p>
                  <w:pPr>
                    <w:pStyle w:val="Compact"/>
                    <w:jc w:val="right"/>
                    <w:jc w:val="center"/>
                  </w:pPr>
                  <w:r>
                    <w:t xml:space="preserve">0.3739226</w:t>
                  </w:r>
                </w:p>
              </w:tc>
              <w:tc>
                <w:tcPr/>
                <w:p>
                  <w:pPr>
                    <w:pStyle w:val="Compact"/>
                    <w:jc w:val="right"/>
                    <w:jc w:val="center"/>
                  </w:pPr>
                  <w:r>
                    <w:t xml:space="preserve">0.5641002</w:t>
                  </w:r>
                </w:p>
              </w:tc>
              <w:tc>
                <w:tcPr/>
                <w:p>
                  <w:pPr>
                    <w:pStyle w:val="Compact"/>
                    <w:jc w:val="right"/>
                    <w:jc w:val="center"/>
                  </w:pPr>
                  <w:r>
                    <w:t xml:space="preserve">1.0000000</w:t>
                  </w:r>
                </w:p>
              </w:tc>
              <w:tc>
                <w:tcPr/>
                <w:p>
                  <w:pPr>
                    <w:pStyle w:val="Compact"/>
                    <w:jc w:val="right"/>
                    <w:jc w:val="center"/>
                  </w:pPr>
                  <w:r>
                    <w:t xml:space="preserve">0.2160019</w:t>
                  </w:r>
                </w:p>
              </w:tc>
            </w:tr>
            <w:tr>
              <w:tc>
                <w:tcPr/>
                <w:p>
                  <w:pPr>
                    <w:pStyle w:val="Compact"/>
                    <w:jc w:val="left"/>
                    <w:jc w:val="center"/>
                  </w:pPr>
                  <w:r>
                    <w:t xml:space="preserve">uninsured_pct</w:t>
                  </w:r>
                </w:p>
              </w:tc>
              <w:tc>
                <w:tcPr/>
                <w:p>
                  <w:pPr>
                    <w:pStyle w:val="Compact"/>
                    <w:jc w:val="right"/>
                    <w:jc w:val="center"/>
                  </w:pPr>
                  <w:r>
                    <w:t xml:space="preserve">0.3863902</w:t>
                  </w:r>
                </w:p>
              </w:tc>
              <w:tc>
                <w:tcPr/>
                <w:p>
                  <w:pPr>
                    <w:pStyle w:val="Compact"/>
                    <w:jc w:val="right"/>
                    <w:jc w:val="center"/>
                  </w:pPr>
                  <w:r>
                    <w:t xml:space="preserve">0.1481195</w:t>
                  </w:r>
                </w:p>
              </w:tc>
              <w:tc>
                <w:tcPr/>
                <w:p>
                  <w:pPr>
                    <w:pStyle w:val="Compact"/>
                    <w:jc w:val="right"/>
                    <w:jc w:val="center"/>
                  </w:pPr>
                  <w:r>
                    <w:t xml:space="preserve">0.5454885</w:t>
                  </w:r>
                </w:p>
              </w:tc>
              <w:tc>
                <w:tcPr/>
                <w:p>
                  <w:pPr>
                    <w:pStyle w:val="Compact"/>
                    <w:jc w:val="right"/>
                    <w:jc w:val="center"/>
                  </w:pPr>
                  <w:r>
                    <w:t xml:space="preserve">0.3975236</w:t>
                  </w:r>
                </w:p>
              </w:tc>
              <w:tc>
                <w:tcPr/>
                <w:p>
                  <w:pPr>
                    <w:pStyle w:val="Compact"/>
                    <w:jc w:val="right"/>
                    <w:jc w:val="center"/>
                  </w:pPr>
                  <w:r>
                    <w:t xml:space="preserve">0.2160019</w:t>
                  </w:r>
                </w:p>
              </w:tc>
              <w:tc>
                <w:tcPr/>
                <w:p>
                  <w:pPr>
                    <w:pStyle w:val="Compact"/>
                    <w:jc w:val="right"/>
                    <w:jc w:val="center"/>
                  </w:pPr>
                  <w:r>
                    <w:t xml:space="preserve">1.0000000</w:t>
                  </w:r>
                </w:p>
              </w:tc>
            </w:tr>
          </w:tbl>
          <w:bookmarkEnd w:id="37"/>
          <w:p/>
        </w:tc>
      </w:tr>
    </w:tbl>
    <w:p>
      <w:pPr>
        <w:pStyle w:val="BodyText"/>
      </w:pPr>
      <w:r>
        <w:t xml:space="preserve">The correlations among the covariates are relatively low. We can keep all the covariates for modeling.</w:t>
      </w:r>
    </w:p>
    <w:bookmarkEnd w:id="38"/>
    <w:bookmarkStart w:id="39" w:name="basic-statistical-analysis"/>
    <w:p>
      <w:pPr>
        <w:pStyle w:val="Heading2"/>
      </w:pPr>
      <w:r>
        <w:t xml:space="preserve">4.2 Basic statistical analysis</w:t>
      </w:r>
    </w:p>
    <w:bookmarkEnd w:id="39"/>
    <w:bookmarkStart w:id="40" w:name="full-analysis"/>
    <w:p>
      <w:pPr>
        <w:pStyle w:val="Heading2"/>
      </w:pPr>
      <w:r>
        <w:t xml:space="preserve">4.3 Full analysis</w:t>
      </w:r>
    </w:p>
    <w:p>
      <w:r>
        <w:br w:type="page"/>
      </w:r>
    </w:p>
    <w:bookmarkEnd w:id="40"/>
    <w:bookmarkEnd w:id="41"/>
    <w:bookmarkStart w:id="45" w:name="discussion"/>
    <w:p>
      <w:pPr>
        <w:pStyle w:val="Heading1"/>
      </w:pPr>
      <w:r>
        <w:t xml:space="preserve">5. Discussion</w:t>
      </w:r>
    </w:p>
    <w:bookmarkStart w:id="42" w:name="summary-and-interpretation"/>
    <w:p>
      <w:pPr>
        <w:pStyle w:val="Heading2"/>
      </w:pPr>
      <w:r>
        <w:t xml:space="preserve">5.1 Summary and Interpretation</w:t>
      </w:r>
    </w:p>
    <w:bookmarkEnd w:id="42"/>
    <w:bookmarkStart w:id="43" w:name="strengths-and-limitations"/>
    <w:p>
      <w:pPr>
        <w:pStyle w:val="Heading2"/>
      </w:pPr>
      <w:r>
        <w:t xml:space="preserve">5.2 Strengths and Limitations</w:t>
      </w:r>
    </w:p>
    <w:bookmarkEnd w:id="43"/>
    <w:bookmarkStart w:id="44" w:name="conclusions"/>
    <w:p>
      <w:pPr>
        <w:pStyle w:val="Heading2"/>
      </w:pPr>
      <w:r>
        <w:t xml:space="preserve">5.3 Conclusions</w:t>
      </w:r>
    </w:p>
    <w:bookmarkEnd w:id="44"/>
    <w:bookmarkEnd w:id="45"/>
    <w:bookmarkStart w:id="51" w:name="references"/>
    <w:p>
      <w:pPr>
        <w:pStyle w:val="Heading1"/>
      </w:pPr>
      <w:r>
        <w:t xml:space="preserve">6. References</w:t>
      </w:r>
    </w:p>
    <w:bookmarkStart w:id="50" w:name="refs"/>
    <w:bookmarkStart w:id="47" w:name="ref-peart_patient_2018"/>
    <w:p>
      <w:pPr>
        <w:pStyle w:val="Bibliography"/>
      </w:pPr>
      <w:r>
        <w:t xml:space="preserve">Peart, A., Lewis, V., Brown, T., &amp; Russell, G. (2018). Patient navigators facilitating access to primary care: A scoping review.</w:t>
      </w:r>
      <w:r>
        <w:t xml:space="preserve"> </w:t>
      </w:r>
      <w:r>
        <w:rPr>
          <w:iCs/>
          <w:i/>
        </w:rPr>
        <w:t xml:space="preserve">BMJ Open</w:t>
      </w:r>
      <w:r>
        <w:t xml:space="preserve">,</w:t>
      </w:r>
      <w:r>
        <w:t xml:space="preserve"> </w:t>
      </w:r>
      <w:r>
        <w:rPr>
          <w:iCs/>
          <w:i/>
        </w:rPr>
        <w:t xml:space="preserve">8</w:t>
      </w:r>
      <w:r>
        <w:t xml:space="preserve">(3), e019252.</w:t>
      </w:r>
      <w:r>
        <w:t xml:space="preserve"> </w:t>
      </w:r>
      <w:hyperlink r:id="rId46">
        <w:r>
          <w:rPr>
            <w:rStyle w:val="Hyperlink"/>
          </w:rPr>
          <w:t xml:space="preserve">https://doi.org/10.1136/bmjopen-2017-019252</w:t>
        </w:r>
      </w:hyperlink>
    </w:p>
    <w:bookmarkEnd w:id="47"/>
    <w:bookmarkStart w:id="49" w:name="ref-woolf_new_2023"/>
    <w:p>
      <w:pPr>
        <w:pStyle w:val="Bibliography"/>
      </w:pPr>
      <w:r>
        <w:t xml:space="preserve">Woolf, S. H., Wolf, E. R., &amp; Rivara, F. P. (2023). The</w:t>
      </w:r>
      <w:r>
        <w:t xml:space="preserve"> </w:t>
      </w:r>
      <w:r>
        <w:t xml:space="preserve">New</w:t>
      </w:r>
      <w:r>
        <w:t xml:space="preserve"> </w:t>
      </w:r>
      <w:r>
        <w:t xml:space="preserve">Crisis</w:t>
      </w:r>
      <w:r>
        <w:t xml:space="preserve"> </w:t>
      </w:r>
      <w:r>
        <w:t xml:space="preserve">of</w:t>
      </w:r>
      <w:r>
        <w:t xml:space="preserve"> </w:t>
      </w:r>
      <w:r>
        <w:t xml:space="preserve">Increasing</w:t>
      </w:r>
      <w:r>
        <w:t xml:space="preserve"> </w:t>
      </w:r>
      <w:r>
        <w:t xml:space="preserve">All</w:t>
      </w:r>
      <w:r>
        <w:t xml:space="preserve">-</w:t>
      </w:r>
      <w:r>
        <w:t xml:space="preserve">Cause</w:t>
      </w:r>
      <w:r>
        <w:t xml:space="preserve"> </w:t>
      </w:r>
      <w:r>
        <w:t xml:space="preserve">Mortality</w:t>
      </w:r>
      <w:r>
        <w:t xml:space="preserve"> </w:t>
      </w:r>
      <w:r>
        <w:t xml:space="preserve">in</w:t>
      </w:r>
      <w:r>
        <w:t xml:space="preserve"> </w:t>
      </w:r>
      <w:r>
        <w:t xml:space="preserve">US</w:t>
      </w:r>
      <w:r>
        <w:t xml:space="preserve"> </w:t>
      </w:r>
      <w:r>
        <w:t xml:space="preserve">Children</w:t>
      </w:r>
      <w:r>
        <w:t xml:space="preserve"> </w:t>
      </w:r>
      <w:r>
        <w:t xml:space="preserve">and</w:t>
      </w:r>
      <w:r>
        <w:t xml:space="preserve"> </w:t>
      </w:r>
      <w:r>
        <w:t xml:space="preserve">Adolescents</w:t>
      </w:r>
      <w:r>
        <w:t xml:space="preserve">.</w:t>
      </w:r>
      <w:r>
        <w:t xml:space="preserve"> </w:t>
      </w:r>
      <w:r>
        <w:rPr>
          <w:iCs/>
          <w:i/>
        </w:rPr>
        <w:t xml:space="preserve">JAMA</w:t>
      </w:r>
      <w:r>
        <w:t xml:space="preserve">,</w:t>
      </w:r>
      <w:r>
        <w:t xml:space="preserve"> </w:t>
      </w:r>
      <w:r>
        <w:rPr>
          <w:iCs/>
          <w:i/>
        </w:rPr>
        <w:t xml:space="preserve">329</w:t>
      </w:r>
      <w:r>
        <w:t xml:space="preserve">(12), 975.</w:t>
      </w:r>
      <w:r>
        <w:t xml:space="preserve"> </w:t>
      </w:r>
      <w:hyperlink r:id="rId48">
        <w:r>
          <w:rPr>
            <w:rStyle w:val="Hyperlink"/>
          </w:rPr>
          <w:t xml:space="preserve">https://doi.org/10.1001/jama.2023.3517</w:t>
        </w:r>
      </w:hyperlink>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hyperlink" Id="rId48" Target="https://doi.org/10.1001/jama.2023.3517" TargetMode="External" /><Relationship Type="http://schemas.openxmlformats.org/officeDocument/2006/relationships/hyperlink" Id="rId46" Target="https://doi.org/10.1136/bmjopen-2017-019252"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1001/jama.2023.3517" TargetMode="External" /><Relationship Type="http://schemas.openxmlformats.org/officeDocument/2006/relationships/hyperlink" Id="rId46" Target="https://doi.org/10.1136/bmjopen-2017-01925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All-cause Mortality Rates and Primary Care Physician Supply in US Counties 2021</dc:title>
  <dc:creator>Chaohua Li</dc:creator>
  <cp:keywords/>
  <dcterms:created xsi:type="dcterms:W3CDTF">2024-03-05T16:46:23Z</dcterms:created>
  <dcterms:modified xsi:type="dcterms:W3CDTF">2024-03-05T16:46:23Z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../../assets/mada.bib</vt:lpwstr>
  </property>
  <property fmtid="{D5CDD505-2E9C-101B-9397-08002B2CF9AE}" pid="5" name="by-author">
    <vt:lpwstr/>
  </property>
  <property fmtid="{D5CDD505-2E9C-101B-9397-08002B2CF9AE}" pid="6" name="csl">
    <vt:lpwstr>../../assets/apa.csl</vt:lpwstr>
  </property>
  <property fmtid="{D5CDD505-2E9C-101B-9397-08002B2CF9AE}" pid="7" name="date">
    <vt:lpwstr>2024-02-23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
  </property>
  <property fmtid="{D5CDD505-2E9C-101B-9397-08002B2CF9AE}" pid="13" name="toc-title">
    <vt:lpwstr>Table of contents</vt:lpwstr>
  </property>
</Properties>
</file>