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All-cause</w:t>
      </w:r>
      <w:r>
        <w:t xml:space="preserve"> </w:t>
      </w:r>
      <w:r>
        <w:t xml:space="preserve">Mortality</w:t>
      </w:r>
      <w:r>
        <w:t xml:space="preserve"> </w:t>
      </w:r>
      <w:r>
        <w:t xml:space="preserve">Rates</w:t>
      </w:r>
      <w:r>
        <w:t xml:space="preserve"> </w:t>
      </w:r>
      <w:r>
        <w:t xml:space="preserve">and</w:t>
      </w:r>
      <w:r>
        <w:t xml:space="preserve"> </w:t>
      </w:r>
      <w:r>
        <w:t xml:space="preserve">Primary</w:t>
      </w:r>
      <w:r>
        <w:t xml:space="preserve"> </w:t>
      </w:r>
      <w:r>
        <w:t xml:space="preserve">Care</w:t>
      </w:r>
      <w:r>
        <w:t xml:space="preserve"> </w:t>
      </w:r>
      <w:r>
        <w:t xml:space="preserve">Physician</w:t>
      </w:r>
      <w:r>
        <w:t xml:space="preserve"> </w:t>
      </w:r>
      <w:r>
        <w:t xml:space="preserve">Supply</w:t>
      </w:r>
      <w:r>
        <w:t xml:space="preserve"> </w:t>
      </w:r>
      <w:r>
        <w:t xml:space="preserve">in</w:t>
      </w:r>
      <w:r>
        <w:t xml:space="preserve"> </w:t>
      </w:r>
      <w:r>
        <w:t xml:space="preserve">US</w:t>
      </w:r>
      <w:r>
        <w:t xml:space="preserve"> </w:t>
      </w:r>
      <w:r>
        <w:t xml:space="preserve">Counties</w:t>
      </w:r>
      <w:r>
        <w:t xml:space="preserve"> </w:t>
      </w:r>
      <w:r>
        <w:t xml:space="preserve">2021</w:t>
      </w:r>
    </w:p>
    <w:p>
      <w:pPr>
        <w:pStyle w:val="Author"/>
      </w:pPr>
      <w:r>
        <w:t xml:space="preserve">Chaohua</w:t>
      </w:r>
      <w:r>
        <w:t xml:space="preserve"> </w:t>
      </w:r>
      <w:r>
        <w:t xml:space="preserve">Li</w:t>
      </w:r>
    </w:p>
    <w:p>
      <w:pPr>
        <w:pStyle w:val="Date"/>
      </w:pPr>
      <w:r>
        <w:t xml:space="preserve">2024-04-16</w:t>
      </w:r>
    </w:p>
    <w:bookmarkStart w:id="20" w:name="abstract"/>
    <w:p>
      <w:pPr>
        <w:pStyle w:val="Heading1"/>
      </w:pPr>
      <w:r>
        <w:t xml:space="preserve">1. Abstract</w:t>
      </w:r>
    </w:p>
    <w:p>
      <w:pPr>
        <w:pStyle w:val="FirstParagraph"/>
      </w:pPr>
      <w:r>
        <w:t xml:space="preserve">The all-cause mortality rate is an important indicator of general population health, and has been increasing in the US for the past ten years. Personal level access to primary care is highly associated with mortality, morbidity, and healthcare costs. There is a need to study how primary care physician supply on the geographic levels is associated with all-cause mortality rates in the US. In the project, I conducted a cross-sectional study on the county level and examine the potential association between age-adjusted all-cause mortality rate and primary care physician supply for US counties. Multilevel linear models were used to assess the association, and multiple potential confounders were accounted for in the models. Log-transformed PCP supply was negatively associated with all-cause mortality rate (beta=-19.9, 95% CI=-25.0–14.7, p-value&lt;.001), after adjustment for some socioeconomic measures. A random forest model was also fitted to the data. The mean squared error(MSE) would increase by 10.5% if PCP supply is removed from the model, and node purity would increase by 19664217 by splits on PCP supply. The overall importance of PCP supply is generally low.</w:t>
      </w:r>
    </w:p>
    <w:p>
      <w:r>
        <w:br w:type="page"/>
      </w:r>
    </w:p>
    <w:bookmarkEnd w:id="20"/>
    <w:bookmarkStart w:id="21" w:name="introduction"/>
    <w:p>
      <w:pPr>
        <w:pStyle w:val="Heading1"/>
      </w:pPr>
      <w:r>
        <w:t xml:space="preserve">2. Introduction</w:t>
      </w:r>
    </w:p>
    <w:p>
      <w:pPr>
        <w:pStyle w:val="FirstParagraph"/>
      </w:pPr>
      <w:r>
        <w:t xml:space="preserve">The all-cause mortality rate serves as important indicator of general</w:t>
      </w:r>
      <w:r>
        <w:t xml:space="preserve"> </w:t>
      </w:r>
      <w:r>
        <w:t xml:space="preserve">population health, reflecting the cumulative impact of social, economic,</w:t>
      </w:r>
      <w:r>
        <w:t xml:space="preserve"> </w:t>
      </w:r>
      <w:r>
        <w:t xml:space="preserve">and healthcare factors on mortality outcomes</w:t>
      </w:r>
      <w:r>
        <w:t xml:space="preserve"> </w:t>
      </w:r>
      <w:r>
        <w:t xml:space="preserve">(DeSalvo, Bloser, Reynolds, He, &amp; Muntner, 2006)</w:t>
      </w:r>
      <w:r>
        <w:t xml:space="preserve">.</w:t>
      </w:r>
      <w:r>
        <w:t xml:space="preserve"> </w:t>
      </w:r>
      <w:r>
        <w:t xml:space="preserve">In the United States, the age-adjusted all-cause mortality rate</w:t>
      </w:r>
      <w:r>
        <w:t xml:space="preserve"> </w:t>
      </w:r>
      <w:r>
        <w:t xml:space="preserve">exhibited a steady decline from 1935 until 2014, signifying improvements</w:t>
      </w:r>
      <w:r>
        <w:t xml:space="preserve"> </w:t>
      </w:r>
      <w:r>
        <w:t xml:space="preserve">in public health, healthcare delivery, and medical technology</w:t>
      </w:r>
      <w:r>
        <w:t xml:space="preserve"> </w:t>
      </w:r>
      <w:r>
        <w:t xml:space="preserve">(Aizer, Lleras-Muney, &amp; Stabile, 2005)</w:t>
      </w:r>
      <w:r>
        <w:t xml:space="preserve">. However, a notable increasing trend after 2015 has</w:t>
      </w:r>
      <w:r>
        <w:t xml:space="preserve"> </w:t>
      </w:r>
      <w:r>
        <w:t xml:space="preserve">been observed</w:t>
      </w:r>
      <w:r>
        <w:t xml:space="preserve"> </w:t>
      </w:r>
      <w:r>
        <w:t xml:space="preserve">(Woolf, Wolf, &amp; Rivara, 2023)</w:t>
      </w:r>
      <w:r>
        <w:t xml:space="preserve">.</w:t>
      </w:r>
    </w:p>
    <w:p>
      <w:pPr>
        <w:pStyle w:val="BodyText"/>
      </w:pPr>
      <w:r>
        <w:t xml:space="preserve">Primary care, characterized by the provision of first-contact,</w:t>
      </w:r>
      <w:r>
        <w:t xml:space="preserve"> </w:t>
      </w:r>
      <w:r>
        <w:t xml:space="preserve">person-focused, ongoing and comprehensive care, plays a pivotal role in</w:t>
      </w:r>
      <w:r>
        <w:t xml:space="preserve"> </w:t>
      </w:r>
      <w:r>
        <w:t xml:space="preserve">the healthcare system. It is instrumental in preventing illnesses and</w:t>
      </w:r>
      <w:r>
        <w:t xml:space="preserve"> </w:t>
      </w:r>
      <w:r>
        <w:t xml:space="preserve">death, managing chronic diseases, and coordinating care</w:t>
      </w:r>
      <w:r>
        <w:t xml:space="preserve"> </w:t>
      </w:r>
      <w:r>
        <w:t xml:space="preserve">(Starfield, Shi, &amp; Macinko, 2005)</w:t>
      </w:r>
      <w:r>
        <w:t xml:space="preserve">. Personal level access to primary care is</w:t>
      </w:r>
      <w:r>
        <w:t xml:space="preserve"> </w:t>
      </w:r>
      <w:r>
        <w:t xml:space="preserve">highly associated with mortality, morbidity, and healthcare costs</w:t>
      </w:r>
      <w:r>
        <w:t xml:space="preserve"> </w:t>
      </w:r>
      <w:r>
        <w:t xml:space="preserve">(Peart, Lewis, Brown, &amp; Russell, 2018)</w:t>
      </w:r>
      <w:r>
        <w:t xml:space="preserve">. Despite its importance, the distribution of</w:t>
      </w:r>
      <w:r>
        <w:t xml:space="preserve"> </w:t>
      </w:r>
      <w:r>
        <w:t xml:space="preserve">primary care physicians (PCPs) varies significantly across the United</w:t>
      </w:r>
      <w:r>
        <w:t xml:space="preserve"> </w:t>
      </w:r>
      <w:r>
        <w:t xml:space="preserve">States, with many areas experiencing pronounced shortages, especially</w:t>
      </w:r>
      <w:r>
        <w:t xml:space="preserve"> </w:t>
      </w:r>
      <w:r>
        <w:t xml:space="preserve">for rural and underserved communities.</w:t>
      </w:r>
    </w:p>
    <w:p>
      <w:pPr>
        <w:pStyle w:val="BodyText"/>
      </w:pPr>
      <w:r>
        <w:t xml:space="preserve">Emerging research suggests a link between PCP supply and health</w:t>
      </w:r>
      <w:r>
        <w:t xml:space="preserve"> </w:t>
      </w:r>
      <w:r>
        <w:t xml:space="preserve">outcomes, including mortality rates</w:t>
      </w:r>
      <w:r>
        <w:t xml:space="preserve"> </w:t>
      </w:r>
      <w:r>
        <w:t xml:space="preserve">(Starfield et al., 2005)</w:t>
      </w:r>
      <w:r>
        <w:t xml:space="preserve">.</w:t>
      </w:r>
      <w:r>
        <w:t xml:space="preserve"> </w:t>
      </w:r>
      <w:r>
        <w:t xml:space="preserve">However, the relationship between PCP supply and all-cause mortality</w:t>
      </w:r>
      <w:r>
        <w:t xml:space="preserve"> </w:t>
      </w:r>
      <w:r>
        <w:t xml:space="preserve">rates at the geographic level remains inadequately explored. This gap in</w:t>
      </w:r>
      <w:r>
        <w:t xml:space="preserve"> </w:t>
      </w:r>
      <w:r>
        <w:t xml:space="preserve">the literature highlights the need of comprehensive studies to</w:t>
      </w:r>
      <w:r>
        <w:t xml:space="preserve"> </w:t>
      </w:r>
      <w:r>
        <w:t xml:space="preserve">understand how variations in PCP supply might influence mortality across</w:t>
      </w:r>
      <w:r>
        <w:t xml:space="preserve"> </w:t>
      </w:r>
      <w:r>
        <w:t xml:space="preserve">US counties, accounting for socioeconomic disparities.</w:t>
      </w:r>
    </w:p>
    <w:p>
      <w:pPr>
        <w:pStyle w:val="BodyText"/>
      </w:pPr>
      <w:r>
        <w:t xml:space="preserve">The hypothesis of this project is that primary care physician supply is</w:t>
      </w:r>
      <w:r>
        <w:t xml:space="preserve"> </w:t>
      </w:r>
      <w:r>
        <w:t xml:space="preserve">negatively associated with age-adjusted all-cause mortality rate among</w:t>
      </w:r>
      <w:r>
        <w:t xml:space="preserve"> </w:t>
      </w:r>
      <w:r>
        <w:t xml:space="preserve">US counties. Since counties can be considered nested within states or</w:t>
      </w:r>
      <w:r>
        <w:t xml:space="preserve"> </w:t>
      </w:r>
      <w:r>
        <w:t xml:space="preserve">regions, multilevel linear models were used.</w:t>
      </w:r>
    </w:p>
    <w:bookmarkEnd w:id="21"/>
    <w:bookmarkStart w:id="22" w:name="methods"/>
    <w:p>
      <w:pPr>
        <w:pStyle w:val="Heading1"/>
      </w:pPr>
      <w:r>
        <w:t xml:space="preserve">3. Methods</w:t>
      </w:r>
    </w:p>
    <w:p>
      <w:pPr>
        <w:pStyle w:val="FirstParagraph"/>
      </w:pPr>
      <w:r>
        <w:t xml:space="preserve">Three data sources were used for this study. (1) Multiple Cause of Death</w:t>
      </w:r>
      <w:r>
        <w:t xml:space="preserve"> </w:t>
      </w:r>
      <w:r>
        <w:t xml:space="preserve">File of 2021 from CDC WONDER (https://wonder.cdc.gov/mcd.html). County-level age-adjusted all-cause mortality rates (deaths/100k</w:t>
      </w:r>
      <w:r>
        <w:t xml:space="preserve"> </w:t>
      </w:r>
      <w:r>
        <w:t xml:space="preserve">people) were obtained from this source. (2) Area Health Resource File of 2021 from</w:t>
      </w:r>
      <w:r>
        <w:t xml:space="preserve"> </w:t>
      </w:r>
      <w:r>
        <w:t xml:space="preserve">U.S. Department of Health &amp; Human Services</w:t>
      </w:r>
      <w:r>
        <w:t xml:space="preserve"> </w:t>
      </w:r>
      <w:r>
        <w:t xml:space="preserve">(https://data.hrsa.gov/data/download). County-level</w:t>
      </w:r>
      <w:r>
        <w:t xml:space="preserve"> </w:t>
      </w:r>
      <w:r>
        <w:t xml:space="preserve">primary care physician supply (physicians/100k people) and rural/urban</w:t>
      </w:r>
      <w:r>
        <w:t xml:space="preserve"> </w:t>
      </w:r>
      <w:r>
        <w:t xml:space="preserve">categorization of the county were obtained from this file. (3) Estimates of 2021 from 2017-2021 5-year American Community Survey (https://www.nhgis.org/). States, regions, and some county-level socioeconomic measures as potential confounders for modeling were obtained from this source. These measures</w:t>
      </w:r>
      <w:r>
        <w:t xml:space="preserve"> </w:t>
      </w:r>
      <w:r>
        <w:t xml:space="preserve">include %Living under poverty line, %Without a high school diploma,</w:t>
      </w:r>
      <w:r>
        <w:t xml:space="preserve"> </w:t>
      </w:r>
      <w:r>
        <w:t xml:space="preserve">%Hispanic, %NH-Black, %Unemployed, %Without health insurance. Data from the three sources were merged by using the Federal Information Processing Standards (FIPS) code which served as the identifiers for counties.</w:t>
      </w:r>
    </w:p>
    <w:p>
      <w:pPr>
        <w:pStyle w:val="BodyText"/>
      </w:pPr>
      <w:r>
        <w:t xml:space="preserve">The outcome was county-level age-adjusted all-cause mortality rate (n/100k), and the main predictor was county-level PCP supply (n/100k). The socioeconomic measures were consider as covariates. Since counties can be considered nested within states, multilevel linear models with random intercepts for states were used to assess the association.</w:t>
      </w:r>
    </w:p>
    <w:p>
      <w:pPr>
        <w:pStyle w:val="BodyText"/>
      </w:pPr>
      <w:r>
        <w:t xml:space="preserve">Descriptive statistics were calculated and reported for the overall sample and subgroups by metro status. Bivariate association between the outcome with the main predictor and each of the covariates were assessed using bivariate multilevel linear models. Parameter coefficients, 95% confidence intervals of coefficients and p-values were reported.</w:t>
      </w:r>
    </w:p>
    <w:p>
      <w:pPr>
        <w:pStyle w:val="BodyText"/>
      </w:pPr>
      <w:r>
        <w:t xml:space="preserve">To improve generalizability of results and prevent over-fitting, the data was randomly split into a train set and a test set with 4/1 ratio. Cross-validation was used to assess the model performance of 3 models: (1) multilevel linear model without covariates, (2) multilevel linear model with covariates, (3) random forest with 100 trees. The multilevel linear model with covariates and the random forest model were fitted using the train set. Parameter coefficients, 95% confidence intervals of coefficients were reported for the multilevel linear model; variable importance was reported for the random forest model. The final model fit was then applied to the test set and made predictions. Predicted values vs observed values using the train set and test set were plotted to assess the prediction accuracy of the final models. RStudio was used to perform all analyses.</w:t>
      </w:r>
    </w:p>
    <w:bookmarkEnd w:id="22"/>
    <w:bookmarkStart w:id="45" w:name="results"/>
    <w:p>
      <w:pPr>
        <w:pStyle w:val="Heading1"/>
      </w:pPr>
      <w:r>
        <w:t xml:space="preserve">4. Results</w:t>
      </w:r>
    </w:p>
    <w:bookmarkStart w:id="28" w:name="descriptive-statistics"/>
    <w:p>
      <w:pPr>
        <w:pStyle w:val="Heading2"/>
      </w:pPr>
      <w:r>
        <w:t xml:space="preserve">4.1 Descriptive Statistics</w:t>
      </w:r>
    </w:p>
    <w:p>
      <w:pPr>
        <w:pStyle w:val="FirstParagraph"/>
      </w:pPr>
      <w:r>
        <w:t xml:space="preserve">We included 3079 US counties in this study, 1162 of which were defined</w:t>
      </w:r>
      <w:r>
        <w:t xml:space="preserve"> </w:t>
      </w:r>
      <w:r>
        <w:t xml:space="preserve">as metropolitan counties (Table 1). The mean age-adjusted all-cause</w:t>
      </w:r>
      <w:r>
        <w:t xml:space="preserve"> </w:t>
      </w:r>
      <w:r>
        <w:t xml:space="preserve">mortality rates were 1380/100k for all counties, 1190/100k for</w:t>
      </w:r>
      <w:r>
        <w:t xml:space="preserve"> </w:t>
      </w:r>
      <w:r>
        <w:t xml:space="preserve">metropolitan counties, and 1490/100k for the non-metro counties. Metro</w:t>
      </w:r>
      <w:r>
        <w:t xml:space="preserve"> </w:t>
      </w:r>
      <w:r>
        <w:t xml:space="preserve">and non-metro counties had similar mean percentages of Hispanic</w:t>
      </w:r>
      <w:r>
        <w:t xml:space="preserve"> </w:t>
      </w:r>
      <w:r>
        <w:t xml:space="preserve">population and unemployment rate. On average, metro counties had higher</w:t>
      </w:r>
      <w:r>
        <w:t xml:space="preserve"> </w:t>
      </w:r>
      <w:r>
        <w:t xml:space="preserve">PCP supply(60.1/100k vs 46.2/100k) and percentages of NH-Black</w:t>
      </w:r>
      <w:r>
        <w:t xml:space="preserve"> </w:t>
      </w:r>
      <w:r>
        <w:t xml:space="preserve">population (10.8% vs 7.8%). Average percentages of population without</w:t>
      </w:r>
      <w:r>
        <w:t xml:space="preserve"> </w:t>
      </w:r>
      <w:r>
        <w:t xml:space="preserve">high school diploma (10.5% vs 13.0%), living under federal poverty line</w:t>
      </w:r>
      <w:r>
        <w:t xml:space="preserve"> </w:t>
      </w:r>
      <w:r>
        <w:t xml:space="preserve">(12.6% vs 15.6%), and without health insurance (8.5% vs 10.3%) were</w:t>
      </w:r>
      <w:r>
        <w:t xml:space="preserve"> </w:t>
      </w:r>
      <w:r>
        <w:t xml:space="preserve">lower among metro counties compared to non-metro counties.</w:t>
      </w:r>
    </w:p>
    <w:p>
      <w:pPr>
        <w:pStyle w:val="BodyText"/>
      </w:pPr>
      <w:r>
        <w:t xml:space="preserve">According to the scatter plot between mortality rate and log-transformed</w:t>
      </w:r>
      <w:r>
        <w:t xml:space="preserve"> </w:t>
      </w:r>
      <w:r>
        <w:t xml:space="preserve">PCP supply, there was a linear association between the two, and the</w:t>
      </w:r>
      <w:r>
        <w:t xml:space="preserve"> </w:t>
      </w:r>
      <w:r>
        <w:t xml:space="preserve">association did not considerably differ by metro status of the county</w:t>
      </w:r>
      <w:r>
        <w:t xml:space="preserve"> </w:t>
      </w:r>
      <w:r>
        <w:t xml:space="preserve">(Figure 1).</w:t>
      </w:r>
    </w:p>
    <w:tbl>
      <w:tblPr>
        <w:tblStyle w:val="Table"/>
        <w:tblW w:type="pct" w:w="5000"/>
        <w:tblLook w:firstRow="0" w:lastRow="0" w:firstColumn="0" w:lastColumn="0" w:noHBand="0" w:noVBand="0" w:val="0000"/>
        <w:jc w:val="start"/>
        <w:tblLayout w:type="fixed"/>
      </w:tblPr>
      <w:tblGrid>
        <w:gridCol w:w="7920"/>
      </w:tblGrid>
      <w:tr>
        <w:tc>
          <w:tcPr/>
          <w:bookmarkStart w:id="23" w:name="tbl-schematic1"/>
          <w:p>
            <w:pPr>
              <w:jc w:val="center"/>
            </w:pPr>
            <w:pPr>
              <w:jc w:val="start"/>
              <w:spacing w:before="200"/>
              <w:pStyle w:val="ImageCaption"/>
            </w:pPr>
            <w:r>
              <w:t xml:space="preserve">Table 1: Descriptive statistics of US counties in 2021.</w:t>
            </w:r>
          </w:p>
          <w:tbl>
            <w:tblPr>
              <w:tblStyle w:val="Table"/>
              <w:tblW w:type="pct" w:w="5000"/>
              <w:tblLook w:firstRow="1" w:lastRow="0" w:firstColumn="0" w:lastColumn="0" w:noHBand="0" w:noVBand="0" w:val="0020"/>
              <w:jc w:val="start"/>
              <w:tblLayout w:type="fixed"/>
            </w:tblPr>
            <w:tblGrid>
              <w:gridCol w:w="2475"/>
              <w:gridCol w:w="1881"/>
              <w:gridCol w:w="1782"/>
              <w:gridCol w:w="1782"/>
            </w:tblGrid>
            <w:tr>
              <w:trPr>
                <w:tblHeader w:val="true"/>
              </w:trPr>
              <w:tc>
                <w:tcPr/>
                <w:p>
                  <w:pPr>
                    <w:pStyle w:val="Compact"/>
                  </w:pPr>
                </w:p>
              </w:tc>
              <w:tc>
                <w:tcPr/>
                <w:p>
                  <w:pPr>
                    <w:pStyle w:val="Compact"/>
                    <w:jc w:val="left"/>
                    <w:jc w:val="center"/>
                  </w:pPr>
                  <w:r>
                    <w:t xml:space="preserve">Metro</w:t>
                  </w:r>
                </w:p>
              </w:tc>
              <w:tc>
                <w:tcPr/>
                <w:p>
                  <w:pPr>
                    <w:pStyle w:val="Compact"/>
                    <w:jc w:val="left"/>
                    <w:jc w:val="center"/>
                  </w:pPr>
                  <w:r>
                    <w:t xml:space="preserve">Non-metro</w:t>
                  </w:r>
                </w:p>
              </w:tc>
              <w:tc>
                <w:tcPr/>
                <w:p>
                  <w:pPr>
                    <w:pStyle w:val="Compact"/>
                    <w:jc w:val="left"/>
                    <w:jc w:val="center"/>
                  </w:pPr>
                  <w:r>
                    <w:t xml:space="preserve">Overall</w:t>
                  </w:r>
                </w:p>
              </w:tc>
            </w:tr>
            <w:tr>
              <w:tc>
                <w:tcPr/>
                <w:p>
                  <w:pPr>
                    <w:pStyle w:val="Compact"/>
                  </w:pPr>
                </w:p>
              </w:tc>
              <w:tc>
                <w:tcPr/>
                <w:p>
                  <w:pPr>
                    <w:pStyle w:val="Compact"/>
                    <w:jc w:val="left"/>
                    <w:jc w:val="center"/>
                  </w:pPr>
                  <w:r>
                    <w:t xml:space="preserve">(N=1162)</w:t>
                  </w:r>
                </w:p>
              </w:tc>
              <w:tc>
                <w:tcPr/>
                <w:p>
                  <w:pPr>
                    <w:pStyle w:val="Compact"/>
                    <w:jc w:val="left"/>
                    <w:jc w:val="center"/>
                  </w:pPr>
                  <w:r>
                    <w:t xml:space="preserve">(N=1917)</w:t>
                  </w:r>
                </w:p>
              </w:tc>
              <w:tc>
                <w:tcPr/>
                <w:p>
                  <w:pPr>
                    <w:pStyle w:val="Compact"/>
                    <w:jc w:val="left"/>
                    <w:jc w:val="center"/>
                  </w:pPr>
                  <w:r>
                    <w:t xml:space="preserve">(N=3079)</w:t>
                  </w:r>
                </w:p>
              </w:tc>
            </w:tr>
            <w:tr>
              <w:tc>
                <w:tcPr/>
                <w:p>
                  <w:pPr>
                    <w:pStyle w:val="Compact"/>
                    <w:jc w:val="left"/>
                    <w:jc w:val="center"/>
                  </w:pPr>
                  <w:r>
                    <w:t xml:space="preserve">Mortality rate (n/100k)</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1190 (332)</w:t>
                  </w:r>
                </w:p>
              </w:tc>
              <w:tc>
                <w:tcPr/>
                <w:p>
                  <w:pPr>
                    <w:pStyle w:val="Compact"/>
                    <w:jc w:val="left"/>
                    <w:jc w:val="center"/>
                  </w:pPr>
                  <w:r>
                    <w:t xml:space="preserve">1490 (343)</w:t>
                  </w:r>
                </w:p>
              </w:tc>
              <w:tc>
                <w:tcPr/>
                <w:p>
                  <w:pPr>
                    <w:pStyle w:val="Compact"/>
                    <w:jc w:val="left"/>
                    <w:jc w:val="center"/>
                  </w:pPr>
                  <w:r>
                    <w:t xml:space="preserve">1380 (368)</w:t>
                  </w:r>
                </w:p>
              </w:tc>
            </w:tr>
            <w:tr>
              <w:tc>
                <w:tcPr/>
                <w:p>
                  <w:pPr>
                    <w:pStyle w:val="Compact"/>
                    <w:jc w:val="left"/>
                    <w:jc w:val="center"/>
                  </w:pPr>
                  <w:r>
                    <w:t xml:space="preserve">Median [Min, Max]</w:t>
                  </w:r>
                </w:p>
              </w:tc>
              <w:tc>
                <w:tcPr/>
                <w:p>
                  <w:pPr>
                    <w:pStyle w:val="Compact"/>
                    <w:jc w:val="left"/>
                    <w:jc w:val="center"/>
                  </w:pPr>
                  <w:r>
                    <w:t xml:space="preserve">1170 [411, 3590]</w:t>
                  </w:r>
                </w:p>
              </w:tc>
              <w:tc>
                <w:tcPr/>
                <w:p>
                  <w:pPr>
                    <w:pStyle w:val="Compact"/>
                    <w:jc w:val="left"/>
                    <w:jc w:val="center"/>
                  </w:pPr>
                  <w:r>
                    <w:t xml:space="preserve">1490 [288, 2910]</w:t>
                  </w:r>
                </w:p>
              </w:tc>
              <w:tc>
                <w:tcPr/>
                <w:p>
                  <w:pPr>
                    <w:pStyle w:val="Compact"/>
                    <w:jc w:val="left"/>
                    <w:jc w:val="center"/>
                  </w:pPr>
                  <w:r>
                    <w:t xml:space="preserve">1380 [288, 3590]</w:t>
                  </w:r>
                </w:p>
              </w:tc>
            </w:tr>
            <w:tr>
              <w:tc>
                <w:tcPr/>
                <w:p>
                  <w:pPr>
                    <w:pStyle w:val="Compact"/>
                    <w:jc w:val="left"/>
                    <w:jc w:val="center"/>
                  </w:pPr>
                  <w:r>
                    <w:t xml:space="preserve">PCP supply (n/100k)</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60.1 (40.2)</w:t>
                  </w:r>
                </w:p>
              </w:tc>
              <w:tc>
                <w:tcPr/>
                <w:p>
                  <w:pPr>
                    <w:pStyle w:val="Compact"/>
                    <w:jc w:val="left"/>
                    <w:jc w:val="center"/>
                  </w:pPr>
                  <w:r>
                    <w:t xml:space="preserve">46.2 (34.3)</w:t>
                  </w:r>
                </w:p>
              </w:tc>
              <w:tc>
                <w:tcPr/>
                <w:p>
                  <w:pPr>
                    <w:pStyle w:val="Compact"/>
                    <w:jc w:val="left"/>
                    <w:jc w:val="center"/>
                  </w:pPr>
                  <w:r>
                    <w:t xml:space="preserve">51.5 (37.2)</w:t>
                  </w:r>
                </w:p>
              </w:tc>
            </w:tr>
            <w:tr>
              <w:tc>
                <w:tcPr/>
                <w:p>
                  <w:pPr>
                    <w:pStyle w:val="Compact"/>
                    <w:jc w:val="left"/>
                    <w:jc w:val="center"/>
                  </w:pPr>
                  <w:r>
                    <w:t xml:space="preserve">Median [Min, Max]</w:t>
                  </w:r>
                </w:p>
              </w:tc>
              <w:tc>
                <w:tcPr/>
                <w:p>
                  <w:pPr>
                    <w:pStyle w:val="Compact"/>
                    <w:jc w:val="left"/>
                    <w:jc w:val="center"/>
                  </w:pPr>
                  <w:r>
                    <w:t xml:space="preserve">54.3 [0, 581]</w:t>
                  </w:r>
                </w:p>
              </w:tc>
              <w:tc>
                <w:tcPr/>
                <w:p>
                  <w:pPr>
                    <w:pStyle w:val="Compact"/>
                    <w:jc w:val="left"/>
                    <w:jc w:val="center"/>
                  </w:pPr>
                  <w:r>
                    <w:t xml:space="preserve">41.2 [0, 508]</w:t>
                  </w:r>
                </w:p>
              </w:tc>
              <w:tc>
                <w:tcPr/>
                <w:p>
                  <w:pPr>
                    <w:pStyle w:val="Compact"/>
                    <w:jc w:val="left"/>
                    <w:jc w:val="center"/>
                  </w:pPr>
                  <w:r>
                    <w:t xml:space="preserve">45.5 [0, 581]</w:t>
                  </w:r>
                </w:p>
              </w:tc>
            </w:tr>
            <w:tr>
              <w:tc>
                <w:tcPr/>
                <w:p>
                  <w:pPr>
                    <w:pStyle w:val="Compact"/>
                    <w:jc w:val="left"/>
                    <w:jc w:val="center"/>
                  </w:pPr>
                  <w:r>
                    <w:t xml:space="preserve">% Hispanic</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10.5 (13.0)</w:t>
                  </w:r>
                </w:p>
              </w:tc>
              <w:tc>
                <w:tcPr/>
                <w:p>
                  <w:pPr>
                    <w:pStyle w:val="Compact"/>
                    <w:jc w:val="left"/>
                    <w:jc w:val="center"/>
                  </w:pPr>
                  <w:r>
                    <w:t xml:space="preserve">9.30 (14.5)</w:t>
                  </w:r>
                </w:p>
              </w:tc>
              <w:tc>
                <w:tcPr/>
                <w:p>
                  <w:pPr>
                    <w:pStyle w:val="Compact"/>
                    <w:jc w:val="left"/>
                    <w:jc w:val="center"/>
                  </w:pPr>
                  <w:r>
                    <w:t xml:space="preserve">9.76 (13.9)</w:t>
                  </w:r>
                </w:p>
              </w:tc>
            </w:tr>
            <w:tr>
              <w:tc>
                <w:tcPr/>
                <w:p>
                  <w:pPr>
                    <w:pStyle w:val="Compact"/>
                    <w:jc w:val="left"/>
                    <w:jc w:val="center"/>
                  </w:pPr>
                  <w:r>
                    <w:t xml:space="preserve">Median [Min, Max]</w:t>
                  </w:r>
                </w:p>
              </w:tc>
              <w:tc>
                <w:tcPr/>
                <w:p>
                  <w:pPr>
                    <w:pStyle w:val="Compact"/>
                    <w:jc w:val="left"/>
                    <w:jc w:val="center"/>
                  </w:pPr>
                  <w:r>
                    <w:t xml:space="preserve">5.80 [0, 95.5]</w:t>
                  </w:r>
                </w:p>
              </w:tc>
              <w:tc>
                <w:tcPr/>
                <w:p>
                  <w:pPr>
                    <w:pStyle w:val="Compact"/>
                    <w:jc w:val="left"/>
                    <w:jc w:val="center"/>
                  </w:pPr>
                  <w:r>
                    <w:t xml:space="preserve">3.82 [0, 96.3]</w:t>
                  </w:r>
                </w:p>
              </w:tc>
              <w:tc>
                <w:tcPr/>
                <w:p>
                  <w:pPr>
                    <w:pStyle w:val="Compact"/>
                    <w:jc w:val="left"/>
                    <w:jc w:val="center"/>
                  </w:pPr>
                  <w:r>
                    <w:t xml:space="preserve">4.51 [0, 96.3]</w:t>
                  </w:r>
                </w:p>
              </w:tc>
            </w:tr>
            <w:tr>
              <w:tc>
                <w:tcPr/>
                <w:p>
                  <w:pPr>
                    <w:pStyle w:val="Compact"/>
                    <w:jc w:val="left"/>
                    <w:jc w:val="center"/>
                  </w:pPr>
                  <w:r>
                    <w:t xml:space="preserve">% NH-Black</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10.8 (13.4)</w:t>
                  </w:r>
                </w:p>
              </w:tc>
              <w:tc>
                <w:tcPr/>
                <w:p>
                  <w:pPr>
                    <w:pStyle w:val="Compact"/>
                    <w:jc w:val="left"/>
                    <w:jc w:val="center"/>
                  </w:pPr>
                  <w:r>
                    <w:t xml:space="preserve">7.80 (14.8)</w:t>
                  </w:r>
                </w:p>
              </w:tc>
              <w:tc>
                <w:tcPr/>
                <w:p>
                  <w:pPr>
                    <w:pStyle w:val="Compact"/>
                    <w:jc w:val="left"/>
                    <w:jc w:val="center"/>
                  </w:pPr>
                  <w:r>
                    <w:t xml:space="preserve">8.95 (14.4)</w:t>
                  </w:r>
                </w:p>
              </w:tc>
            </w:tr>
            <w:tr>
              <w:tc>
                <w:tcPr/>
                <w:p>
                  <w:pPr>
                    <w:pStyle w:val="Compact"/>
                    <w:jc w:val="left"/>
                    <w:jc w:val="center"/>
                  </w:pPr>
                  <w:r>
                    <w:t xml:space="preserve">Median [Min, Max]</w:t>
                  </w:r>
                </w:p>
              </w:tc>
              <w:tc>
                <w:tcPr/>
                <w:p>
                  <w:pPr>
                    <w:pStyle w:val="Compact"/>
                    <w:jc w:val="left"/>
                    <w:jc w:val="center"/>
                  </w:pPr>
                  <w:r>
                    <w:t xml:space="preserve">5.50 [0, 79.7]</w:t>
                  </w:r>
                </w:p>
              </w:tc>
              <w:tc>
                <w:tcPr/>
                <w:p>
                  <w:pPr>
                    <w:pStyle w:val="Compact"/>
                    <w:jc w:val="left"/>
                    <w:jc w:val="center"/>
                  </w:pPr>
                  <w:r>
                    <w:t xml:space="preserve">1.26 [0, 87.0]</w:t>
                  </w:r>
                </w:p>
              </w:tc>
              <w:tc>
                <w:tcPr/>
                <w:p>
                  <w:pPr>
                    <w:pStyle w:val="Compact"/>
                    <w:jc w:val="left"/>
                    <w:jc w:val="center"/>
                  </w:pPr>
                  <w:r>
                    <w:t xml:space="preserve">2.21 [0, 87.0]</w:t>
                  </w:r>
                </w:p>
              </w:tc>
            </w:tr>
            <w:tr>
              <w:tc>
                <w:tcPr/>
                <w:p>
                  <w:pPr>
                    <w:pStyle w:val="Compact"/>
                    <w:jc w:val="left"/>
                    <w:jc w:val="center"/>
                  </w:pPr>
                  <w:r>
                    <w:t xml:space="preserve">% No high school diploma</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10.5 (4.84)</w:t>
                  </w:r>
                </w:p>
              </w:tc>
              <w:tc>
                <w:tcPr/>
                <w:p>
                  <w:pPr>
                    <w:pStyle w:val="Compact"/>
                    <w:jc w:val="left"/>
                    <w:jc w:val="center"/>
                  </w:pPr>
                  <w:r>
                    <w:t xml:space="preserve">13.0 (6.14)</w:t>
                  </w:r>
                </w:p>
              </w:tc>
              <w:tc>
                <w:tcPr/>
                <w:p>
                  <w:pPr>
                    <w:pStyle w:val="Compact"/>
                    <w:jc w:val="left"/>
                    <w:jc w:val="center"/>
                  </w:pPr>
                  <w:r>
                    <w:t xml:space="preserve">12.1 (5.81)</w:t>
                  </w:r>
                </w:p>
              </w:tc>
            </w:tr>
            <w:tr>
              <w:tc>
                <w:tcPr/>
                <w:p>
                  <w:pPr>
                    <w:pStyle w:val="Compact"/>
                    <w:jc w:val="left"/>
                    <w:jc w:val="center"/>
                  </w:pPr>
                  <w:r>
                    <w:t xml:space="preserve">Median [Min, Max]</w:t>
                  </w:r>
                </w:p>
              </w:tc>
              <w:tc>
                <w:tcPr/>
                <w:p>
                  <w:pPr>
                    <w:pStyle w:val="Compact"/>
                    <w:jc w:val="left"/>
                    <w:jc w:val="center"/>
                  </w:pPr>
                  <w:r>
                    <w:t xml:space="preserve">9.67 [2.12, 50.3]</w:t>
                  </w:r>
                </w:p>
              </w:tc>
              <w:tc>
                <w:tcPr/>
                <w:p>
                  <w:pPr>
                    <w:pStyle w:val="Compact"/>
                    <w:jc w:val="left"/>
                    <w:jc w:val="center"/>
                  </w:pPr>
                  <w:r>
                    <w:t xml:space="preserve">11.9 [1.38, 47.9]</w:t>
                  </w:r>
                </w:p>
              </w:tc>
              <w:tc>
                <w:tcPr/>
                <w:p>
                  <w:pPr>
                    <w:pStyle w:val="Compact"/>
                    <w:jc w:val="left"/>
                    <w:jc w:val="center"/>
                  </w:pPr>
                  <w:r>
                    <w:t xml:space="preserve">10.8 [1.38, 50.3]</w:t>
                  </w:r>
                </w:p>
              </w:tc>
            </w:tr>
            <w:tr>
              <w:tc>
                <w:tcPr/>
                <w:p>
                  <w:pPr>
                    <w:pStyle w:val="Compact"/>
                    <w:jc w:val="left"/>
                    <w:jc w:val="center"/>
                  </w:pPr>
                  <w:r>
                    <w:t xml:space="preserve">% Poverty</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12.6 (4.97)</w:t>
                  </w:r>
                </w:p>
              </w:tc>
              <w:tc>
                <w:tcPr/>
                <w:p>
                  <w:pPr>
                    <w:pStyle w:val="Compact"/>
                    <w:jc w:val="left"/>
                    <w:jc w:val="center"/>
                  </w:pPr>
                  <w:r>
                    <w:t xml:space="preserve">15.6 (6.39)</w:t>
                  </w:r>
                </w:p>
              </w:tc>
              <w:tc>
                <w:tcPr/>
                <w:p>
                  <w:pPr>
                    <w:pStyle w:val="Compact"/>
                    <w:jc w:val="left"/>
                    <w:jc w:val="center"/>
                  </w:pPr>
                  <w:r>
                    <w:t xml:space="preserve">14.5 (6.08)</w:t>
                  </w:r>
                </w:p>
              </w:tc>
            </w:tr>
            <w:tr>
              <w:tc>
                <w:tcPr/>
                <w:p>
                  <w:pPr>
                    <w:pStyle w:val="Compact"/>
                    <w:jc w:val="left"/>
                    <w:jc w:val="center"/>
                  </w:pPr>
                  <w:r>
                    <w:t xml:space="preserve">Median [Min, Max]</w:t>
                  </w:r>
                </w:p>
              </w:tc>
              <w:tc>
                <w:tcPr/>
                <w:p>
                  <w:pPr>
                    <w:pStyle w:val="Compact"/>
                    <w:jc w:val="left"/>
                    <w:jc w:val="center"/>
                  </w:pPr>
                  <w:r>
                    <w:t xml:space="preserve">12.0 [1.80, 38.5]</w:t>
                  </w:r>
                </w:p>
              </w:tc>
              <w:tc>
                <w:tcPr/>
                <w:p>
                  <w:pPr>
                    <w:pStyle w:val="Compact"/>
                    <w:jc w:val="left"/>
                    <w:jc w:val="center"/>
                  </w:pPr>
                  <w:r>
                    <w:t xml:space="preserve">14.5 [3.54, 59.0]</w:t>
                  </w:r>
                </w:p>
              </w:tc>
              <w:tc>
                <w:tcPr/>
                <w:p>
                  <w:pPr>
                    <w:pStyle w:val="Compact"/>
                    <w:jc w:val="left"/>
                    <w:jc w:val="center"/>
                  </w:pPr>
                  <w:r>
                    <w:t xml:space="preserve">13.5 [1.80, 59.0]</w:t>
                  </w:r>
                </w:p>
              </w:tc>
            </w:tr>
            <w:tr>
              <w:tc>
                <w:tcPr/>
                <w:p>
                  <w:pPr>
                    <w:pStyle w:val="Compact"/>
                    <w:jc w:val="left"/>
                    <w:jc w:val="center"/>
                  </w:pPr>
                  <w:r>
                    <w:t xml:space="preserve">% Unemployed</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5.15 (1.93)</w:t>
                  </w:r>
                </w:p>
              </w:tc>
              <w:tc>
                <w:tcPr/>
                <w:p>
                  <w:pPr>
                    <w:pStyle w:val="Compact"/>
                    <w:jc w:val="left"/>
                    <w:jc w:val="center"/>
                  </w:pPr>
                  <w:r>
                    <w:t xml:space="preserve">5.35 (2.92)</w:t>
                  </w:r>
                </w:p>
              </w:tc>
              <w:tc>
                <w:tcPr/>
                <w:p>
                  <w:pPr>
                    <w:pStyle w:val="Compact"/>
                    <w:jc w:val="left"/>
                    <w:jc w:val="center"/>
                  </w:pPr>
                  <w:r>
                    <w:t xml:space="preserve">5.27 (2.59)</w:t>
                  </w:r>
                </w:p>
              </w:tc>
            </w:tr>
            <w:tr>
              <w:tc>
                <w:tcPr/>
                <w:p>
                  <w:pPr>
                    <w:pStyle w:val="Compact"/>
                    <w:jc w:val="left"/>
                    <w:jc w:val="center"/>
                  </w:pPr>
                  <w:r>
                    <w:t xml:space="preserve">Median [Min, Max]</w:t>
                  </w:r>
                </w:p>
              </w:tc>
              <w:tc>
                <w:tcPr/>
                <w:p>
                  <w:pPr>
                    <w:pStyle w:val="Compact"/>
                    <w:jc w:val="left"/>
                    <w:jc w:val="center"/>
                  </w:pPr>
                  <w:r>
                    <w:t xml:space="preserve">4.90 [0.699, 26.2]</w:t>
                  </w:r>
                </w:p>
              </w:tc>
              <w:tc>
                <w:tcPr/>
                <w:p>
                  <w:pPr>
                    <w:pStyle w:val="Compact"/>
                    <w:jc w:val="left"/>
                    <w:jc w:val="center"/>
                  </w:pPr>
                  <w:r>
                    <w:t xml:space="preserve">4.93 [0, 32.4]</w:t>
                  </w:r>
                </w:p>
              </w:tc>
              <w:tc>
                <w:tcPr/>
                <w:p>
                  <w:pPr>
                    <w:pStyle w:val="Compact"/>
                    <w:jc w:val="left"/>
                    <w:jc w:val="center"/>
                  </w:pPr>
                  <w:r>
                    <w:t xml:space="preserve">4.92 [0, 32.4]</w:t>
                  </w:r>
                </w:p>
              </w:tc>
            </w:tr>
            <w:tr>
              <w:tc>
                <w:tcPr/>
                <w:p>
                  <w:pPr>
                    <w:pStyle w:val="Compact"/>
                    <w:jc w:val="left"/>
                    <w:jc w:val="center"/>
                  </w:pPr>
                  <w:r>
                    <w:t xml:space="preserve">% No health insurance</w:t>
                  </w:r>
                </w:p>
              </w:tc>
              <w:tc>
                <w:tcPr/>
                <w:p>
                  <w:pPr>
                    <w:pStyle w:val="Compact"/>
                  </w:pPr>
                </w:p>
              </w:tc>
              <w:tc>
                <w:tcPr/>
                <w:p>
                  <w:pPr>
                    <w:pStyle w:val="Compact"/>
                  </w:pPr>
                </w:p>
              </w:tc>
              <w:tc>
                <w:tcPr/>
                <w:p>
                  <w:pPr>
                    <w:pStyle w:val="Compact"/>
                  </w:pPr>
                </w:p>
              </w:tc>
            </w:tr>
            <w:tr>
              <w:tc>
                <w:tcPr/>
                <w:p>
                  <w:pPr>
                    <w:pStyle w:val="Compact"/>
                    <w:jc w:val="left"/>
                    <w:jc w:val="center"/>
                  </w:pPr>
                  <w:r>
                    <w:t xml:space="preserve">Mean (SD)</w:t>
                  </w:r>
                </w:p>
              </w:tc>
              <w:tc>
                <w:tcPr/>
                <w:p>
                  <w:pPr>
                    <w:pStyle w:val="Compact"/>
                    <w:jc w:val="left"/>
                    <w:jc w:val="center"/>
                  </w:pPr>
                  <w:r>
                    <w:t xml:space="preserve">8.48 (4.15)</w:t>
                  </w:r>
                </w:p>
              </w:tc>
              <w:tc>
                <w:tcPr/>
                <w:p>
                  <w:pPr>
                    <w:pStyle w:val="Compact"/>
                    <w:jc w:val="left"/>
                    <w:jc w:val="center"/>
                  </w:pPr>
                  <w:r>
                    <w:t xml:space="preserve">10.3 (5.37)</w:t>
                  </w:r>
                </w:p>
              </w:tc>
              <w:tc>
                <w:tcPr/>
                <w:p>
                  <w:pPr>
                    <w:pStyle w:val="Compact"/>
                    <w:jc w:val="left"/>
                    <w:jc w:val="center"/>
                  </w:pPr>
                  <w:r>
                    <w:t xml:space="preserve">9.62 (5.02)</w:t>
                  </w:r>
                </w:p>
              </w:tc>
            </w:tr>
            <w:tr>
              <w:tc>
                <w:tcPr/>
                <w:p>
                  <w:pPr>
                    <w:pStyle w:val="Compact"/>
                    <w:jc w:val="left"/>
                    <w:jc w:val="center"/>
                  </w:pPr>
                  <w:r>
                    <w:t xml:space="preserve">Median [Min, Max]</w:t>
                  </w:r>
                </w:p>
              </w:tc>
              <w:tc>
                <w:tcPr/>
                <w:p>
                  <w:pPr>
                    <w:pStyle w:val="Compact"/>
                    <w:jc w:val="left"/>
                    <w:jc w:val="center"/>
                  </w:pPr>
                  <w:r>
                    <w:t xml:space="preserve">7.81 [1.06, 33.2]</w:t>
                  </w:r>
                </w:p>
              </w:tc>
              <w:tc>
                <w:tcPr/>
                <w:p>
                  <w:pPr>
                    <w:pStyle w:val="Compact"/>
                    <w:jc w:val="left"/>
                    <w:jc w:val="center"/>
                  </w:pPr>
                  <w:r>
                    <w:t xml:space="preserve">9.13 [1.17, 44.9]</w:t>
                  </w:r>
                </w:p>
              </w:tc>
              <w:tc>
                <w:tcPr/>
                <w:p>
                  <w:pPr>
                    <w:pStyle w:val="Compact"/>
                    <w:jc w:val="left"/>
                    <w:jc w:val="center"/>
                  </w:pPr>
                  <w:r>
                    <w:t xml:space="preserve">8.51 [1.06, 44.9]</w:t>
                  </w:r>
                </w:p>
              </w:tc>
            </w:tr>
          </w:tbl>
          <w:p>
            <w:pPr>
              <w:jc w:val="center"/>
            </w:pPr>
            <w:r>
              <w:rPr>
                <w:bCs/>
                <w:b/>
              </w:rPr>
              <w:t xml:space="preserve">Note:</w:t>
            </w:r>
            <w:r>
              <w:t xml:space="preserve"> </w:t>
            </w:r>
            <w:r>
              <w:rPr>
                <w:vertAlign w:val="superscript"/>
              </w:rPr>
              <w:t xml:space="preserve">a</w:t>
            </w:r>
            <w:r>
              <w:t xml:space="preserve">SD, standard deviation; PCP, primary care physician.</w:t>
            </w:r>
          </w:p>
          <w:bookmarkEnd w:id="23"/>
        </w:tc>
      </w:tr>
    </w:tbl>
    <w:tbl>
      <w:tblPr>
        <w:tblStyle w:val="Table"/>
        <w:tblW w:type="pct" w:w="5000"/>
        <w:tblLook w:firstRow="0" w:lastRow="0" w:firstColumn="0" w:lastColumn="0" w:noHBand="0" w:noVBand="0" w:val="0000"/>
        <w:jc w:val="start"/>
        <w:tblLayout w:type="fixed"/>
      </w:tblPr>
      <w:tblGrid>
        <w:gridCol w:w="7920"/>
      </w:tblGrid>
      <w:tr>
        <w:tc>
          <w:tcPr/>
          <w:bookmarkStart w:id="27" w:name="fig-schematic1"/>
          <w:p>
            <w:pPr>
              <w:pStyle w:val="Compact"/>
              <w:jc w:val="center"/>
            </w:pPr>
            <w:r>
              <w:drawing>
                <wp:inline>
                  <wp:extent cx="5334000" cy="3807460"/>
                  <wp:effectExtent b="0" l="0" r="0" t="0"/>
                  <wp:docPr descr="" title="" id="25" name="Picture"/>
                  <a:graphic>
                    <a:graphicData uri="http://schemas.openxmlformats.org/drawingml/2006/picture">
                      <pic:pic>
                        <pic:nvPicPr>
                          <pic:cNvPr descr="../../results/analysis/figure1.png" id="26" name="Picture"/>
                          <pic:cNvPicPr>
                            <a:picLocks noChangeArrowheads="1" noChangeAspect="1"/>
                          </pic:cNvPicPr>
                        </pic:nvPicPr>
                        <pic:blipFill>
                          <a:blip r:embed="rId24"/>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Association between age-adjusted all-cause mortality rate and Log (PCP supply) by metropolitan status among US counties, 2011</w:t>
            </w:r>
          </w:p>
          <w:bookmarkEnd w:id="27"/>
        </w:tc>
      </w:tr>
    </w:tbl>
    <w:bookmarkEnd w:id="28"/>
    <w:bookmarkStart w:id="33" w:name="basic-statistical-analysis"/>
    <w:p>
      <w:pPr>
        <w:pStyle w:val="Heading2"/>
      </w:pPr>
      <w:r>
        <w:t xml:space="preserve">4.2 Basic statistical analysis</w:t>
      </w:r>
    </w:p>
    <w:p>
      <w:pPr>
        <w:pStyle w:val="FirstParagraph"/>
      </w:pPr>
      <w:r>
        <w:t xml:space="preserve">Without adjustment of other measures, log-transformed PCP supply was negatively associated with mortality rate (beta=-37.3, 95% CI=-43.0–31.5), non-metro counties had significantly higher mortality rates (beta=310.5, 95% CI=287.2-333.8) (Table2); %Hispanic was negatively associated with mortality rates (beta=-9.8, 95% CI=-11.0 - -8.7), %NH-Black was not significantly associated with mortality rate (beta=0.3, 95% CI=-0.9-1.5) (Table 3); both %No high school diploma (beta=16.7, 95% CI=14.2 -19.1) and %Poverty (beta=23.5, 95% CI=21.4–25.6) were positively associated with mortality rates (Table 4); %Unemployed (beta=32.7, 95% CI=27.7 -37.7) and %No health insurance (beta=13.0, 95% CI=9.7 -16.4) were associated with higher mortality rates (Table 5).</w:t>
      </w:r>
    </w:p>
    <w:tbl>
      <w:tblPr>
        <w:tblStyle w:val="Table"/>
        <w:tblW w:type="pct" w:w="5000"/>
        <w:tblLook w:firstRow="0" w:lastRow="0" w:firstColumn="0" w:lastColumn="0" w:noHBand="0" w:noVBand="0" w:val="0000"/>
        <w:jc w:val="start"/>
        <w:tblLayout w:type="fixed"/>
      </w:tblPr>
      <w:tblGrid>
        <w:gridCol w:w="7920"/>
      </w:tblGrid>
      <w:tr>
        <w:tc>
          <w:tcPr/>
          <w:bookmarkStart w:id="29" w:name="tbl-schematic2a"/>
          <w:p>
            <w:pPr>
              <w:jc w:val="center"/>
            </w:pPr>
            <w:pPr>
              <w:jc w:val="start"/>
              <w:spacing w:before="200"/>
              <w:pStyle w:val="ImageCaption"/>
            </w:pPr>
            <w:r>
              <w:t xml:space="preserve">Table 2: Results of unadjusted multilevel linear regression.</w:t>
            </w:r>
          </w:p>
          <w:tbl>
            <w:tblPr>
              <w:tblStyle w:val="Table"/>
              <w:tblW w:type="pct" w:w="5000"/>
              <w:tblLook w:firstRow="1" w:lastRow="0" w:firstColumn="0" w:lastColumn="0" w:noHBand="0" w:noVBand="0" w:val="0020"/>
              <w:jc w:val="start"/>
              <w:tblLayout w:type="fixed"/>
            </w:tblPr>
            <w:tblGrid>
              <w:gridCol w:w="2200"/>
              <w:gridCol w:w="1026"/>
              <w:gridCol w:w="1173"/>
              <w:gridCol w:w="660"/>
              <w:gridCol w:w="1026"/>
              <w:gridCol w:w="1173"/>
              <w:gridCol w:w="660"/>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1444.6</w:t>
                  </w:r>
                </w:p>
              </w:tc>
              <w:tc>
                <w:tcPr/>
                <w:p>
                  <w:pPr>
                    <w:pStyle w:val="Compact"/>
                    <w:jc w:val="left"/>
                    <w:jc w:val="center"/>
                  </w:pPr>
                  <w:r>
                    <w:t xml:space="preserve">1389.1 – 1500.0</w:t>
                  </w:r>
                </w:p>
              </w:tc>
              <w:tc>
                <w:tcPr/>
                <w:p>
                  <w:pPr>
                    <w:pStyle w:val="Compact"/>
                    <w:jc w:val="left"/>
                    <w:jc w:val="center"/>
                  </w:pPr>
                  <w:r>
                    <w:t xml:space="preserve">&lt;0.001</w:t>
                  </w:r>
                </w:p>
              </w:tc>
              <w:tc>
                <w:tcPr/>
                <w:p>
                  <w:pPr>
                    <w:pStyle w:val="Compact"/>
                    <w:jc w:val="left"/>
                    <w:jc w:val="center"/>
                  </w:pPr>
                  <w:r>
                    <w:t xml:space="preserve">1129.1</w:t>
                  </w:r>
                </w:p>
              </w:tc>
              <w:tc>
                <w:tcPr/>
                <w:p>
                  <w:pPr>
                    <w:pStyle w:val="Compact"/>
                    <w:jc w:val="left"/>
                    <w:jc w:val="center"/>
                  </w:pPr>
                  <w:r>
                    <w:t xml:space="preserve">1076.0 – 1182.3</w:t>
                  </w:r>
                </w:p>
              </w:tc>
              <w:tc>
                <w:tcPr/>
                <w:p>
                  <w:pPr>
                    <w:pStyle w:val="Compact"/>
                    <w:jc w:val="left"/>
                    <w:jc w:val="center"/>
                  </w:pPr>
                  <w:r>
                    <w:t xml:space="preserve">&lt;0.001</w:t>
                  </w:r>
                </w:p>
              </w:tc>
            </w:tr>
            <w:tr>
              <w:tc>
                <w:tcPr/>
                <w:p>
                  <w:pPr>
                    <w:pStyle w:val="Compact"/>
                    <w:jc w:val="left"/>
                    <w:jc w:val="center"/>
                  </w:pPr>
                  <w:r>
                    <w:t xml:space="preserve">log(pcp_100k + 0.01)</w:t>
                  </w:r>
                </w:p>
              </w:tc>
              <w:tc>
                <w:tcPr/>
                <w:p>
                  <w:pPr>
                    <w:pStyle w:val="Compact"/>
                    <w:jc w:val="left"/>
                    <w:jc w:val="center"/>
                  </w:pPr>
                  <w:r>
                    <w:t xml:space="preserve">-37.3</w:t>
                  </w:r>
                </w:p>
              </w:tc>
              <w:tc>
                <w:tcPr/>
                <w:p>
                  <w:pPr>
                    <w:pStyle w:val="Compact"/>
                    <w:jc w:val="left"/>
                    <w:jc w:val="center"/>
                  </w:pPr>
                  <w:r>
                    <w:t xml:space="preserve">-43.0 – -31.5</w:t>
                  </w:r>
                </w:p>
              </w:tc>
              <w:tc>
                <w:tcPr/>
                <w:p>
                  <w:pPr>
                    <w:pStyle w:val="Compact"/>
                    <w:jc w:val="left"/>
                    <w:jc w:val="center"/>
                  </w:pPr>
                  <w:r>
                    <w:t xml:space="preserve">&lt;0.001</w:t>
                  </w:r>
                </w:p>
              </w:tc>
              <w:tc>
                <w:tcPr/>
                <w:p>
                  <w:pPr>
                    <w:pStyle w:val="Compact"/>
                  </w:pPr>
                </w:p>
              </w:tc>
              <w:tc>
                <w:tcPr/>
                <w:p>
                  <w:pPr>
                    <w:pStyle w:val="Compact"/>
                  </w:pPr>
                </w:p>
              </w:tc>
              <w:tc>
                <w:tcPr/>
                <w:p>
                  <w:pPr>
                    <w:pStyle w:val="Compact"/>
                  </w:pPr>
                </w:p>
              </w:tc>
            </w:tr>
            <w:tr>
              <w:tc>
                <w:tcPr/>
                <w:p>
                  <w:pPr>
                    <w:pStyle w:val="Compact"/>
                    <w:jc w:val="left"/>
                    <w:jc w:val="center"/>
                  </w:pPr>
                  <w:r>
                    <w:t xml:space="preserve">Metropolitan status:Non-metro</w:t>
                  </w:r>
                </w:p>
              </w:tc>
              <w:tc>
                <w:tcPr/>
                <w:p>
                  <w:pPr>
                    <w:pStyle w:val="Compact"/>
                  </w:pPr>
                </w:p>
              </w:tc>
              <w:tc>
                <w:tcPr/>
                <w:p>
                  <w:pPr>
                    <w:pStyle w:val="Compact"/>
                  </w:pPr>
                </w:p>
              </w:tc>
              <w:tc>
                <w:tcPr/>
                <w:p>
                  <w:pPr>
                    <w:pStyle w:val="Compact"/>
                  </w:pPr>
                </w:p>
              </w:tc>
              <w:tc>
                <w:tcPr/>
                <w:p>
                  <w:pPr>
                    <w:pStyle w:val="Compact"/>
                    <w:jc w:val="left"/>
                    <w:jc w:val="center"/>
                  </w:pPr>
                  <w:r>
                    <w:t xml:space="preserve">310.5</w:t>
                  </w:r>
                </w:p>
              </w:tc>
              <w:tc>
                <w:tcPr/>
                <w:p>
                  <w:pPr>
                    <w:pStyle w:val="Compact"/>
                    <w:jc w:val="left"/>
                    <w:jc w:val="center"/>
                  </w:pPr>
                  <w:r>
                    <w:t xml:space="preserve">287.2 – 333.8</w:t>
                  </w:r>
                </w:p>
              </w:tc>
              <w:tc>
                <w:tcPr/>
                <w:p>
                  <w:pPr>
                    <w:pStyle w:val="Compact"/>
                    <w:jc w:val="left"/>
                    <w:jc w:val="center"/>
                  </w:pPr>
                  <w:r>
                    <w:t xml:space="preserve">&lt;0.001</w:t>
                  </w:r>
                </w:p>
              </w:tc>
            </w:tr>
            <w:tr>
              <w:tc>
                <w:tcPr/>
                <w:p>
                  <w:pPr>
                    <w:pStyle w:val="Compact"/>
                    <w:jc w:val="left"/>
                    <w:jc w:val="center"/>
                  </w:pPr>
                  <w:r>
                    <w:t xml:space="preserve">N</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r>
            <w:tr>
              <w:tc>
                <w:tcPr/>
                <w:p>
                  <w:pPr>
                    <w:pStyle w:val="Compact"/>
                    <w:jc w:val="left"/>
                    <w:jc w:val="center"/>
                  </w:pPr>
                  <w:r>
                    <w:t xml:space="preserve">Observations</w:t>
                  </w:r>
                </w:p>
              </w:tc>
              <w:tc>
                <w:tcPr/>
                <w:p>
                  <w:pPr>
                    <w:pStyle w:val="Compact"/>
                    <w:jc w:val="left"/>
                    <w:jc w:val="center"/>
                  </w:pPr>
                  <w:r>
                    <w:t xml:space="preserve">3079</w:t>
                  </w:r>
                </w:p>
              </w:tc>
              <w:tc>
                <w:tcPr/>
                <w:p>
                  <w:pPr>
                    <w:pStyle w:val="Compact"/>
                  </w:pPr>
                </w:p>
              </w:tc>
              <w:tc>
                <w:tcPr/>
                <w:p>
                  <w:pPr>
                    <w:pStyle w:val="Compact"/>
                  </w:pPr>
                </w:p>
              </w:tc>
              <w:tc>
                <w:tcPr/>
                <w:p>
                  <w:pPr>
                    <w:pStyle w:val="Compact"/>
                    <w:jc w:val="left"/>
                    <w:jc w:val="center"/>
                  </w:pPr>
                  <w:r>
                    <w:t xml:space="preserve">3079</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0.042 / 0.260</w:t>
                  </w:r>
                </w:p>
              </w:tc>
              <w:tc>
                <w:tcPr/>
                <w:p>
                  <w:pPr>
                    <w:pStyle w:val="Compact"/>
                  </w:pPr>
                </w:p>
              </w:tc>
              <w:tc>
                <w:tcPr/>
                <w:p>
                  <w:pPr>
                    <w:pStyle w:val="Compact"/>
                  </w:pPr>
                </w:p>
              </w:tc>
              <w:tc>
                <w:tcPr/>
                <w:p>
                  <w:pPr>
                    <w:pStyle w:val="Compact"/>
                    <w:jc w:val="left"/>
                    <w:jc w:val="center"/>
                  </w:pPr>
                  <w:r>
                    <w:t xml:space="preserve">0.156 / 0.371</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44497.021</w:t>
                  </w:r>
                </w:p>
              </w:tc>
              <w:tc>
                <w:tcPr/>
                <w:p>
                  <w:pPr>
                    <w:pStyle w:val="Compact"/>
                  </w:pPr>
                </w:p>
              </w:tc>
              <w:tc>
                <w:tcPr/>
                <w:p>
                  <w:pPr>
                    <w:pStyle w:val="Compact"/>
                  </w:pPr>
                </w:p>
              </w:tc>
              <w:tc>
                <w:tcPr/>
                <w:p>
                  <w:pPr>
                    <w:pStyle w:val="Compact"/>
                    <w:jc w:val="left"/>
                    <w:jc w:val="center"/>
                  </w:pPr>
                  <w:r>
                    <w:t xml:space="preserve">44036.552</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CI, 95% confidence interval.</w:t>
            </w:r>
          </w:p>
          <w:bookmarkEnd w:id="2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0" w:name="tbl-schematic2b"/>
          <w:p>
            <w:pPr>
              <w:jc w:val="center"/>
            </w:pPr>
            <w:pPr>
              <w:jc w:val="start"/>
              <w:spacing w:before="200"/>
              <w:pStyle w:val="ImageCaption"/>
            </w:pPr>
            <w:r>
              <w:t xml:space="preserve">Table 3: Results of unadjusted multilevel linear regression.</w:t>
            </w:r>
          </w:p>
          <w:tbl>
            <w:tblPr>
              <w:tblStyle w:val="Table"/>
              <w:tblW w:type="pct" w:w="5000"/>
              <w:tblLook w:firstRow="1" w:lastRow="0" w:firstColumn="0" w:lastColumn="0" w:noHBand="0" w:noVBand="0" w:val="0020"/>
              <w:jc w:val="start"/>
              <w:tblLayout w:type="fixed"/>
            </w:tblPr>
            <w:tblGrid>
              <w:gridCol w:w="2146"/>
              <w:gridCol w:w="1036"/>
              <w:gridCol w:w="1184"/>
              <w:gridCol w:w="666"/>
              <w:gridCol w:w="1036"/>
              <w:gridCol w:w="1184"/>
              <w:gridCol w:w="666"/>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1407.0</w:t>
                  </w:r>
                </w:p>
              </w:tc>
              <w:tc>
                <w:tcPr/>
                <w:p>
                  <w:pPr>
                    <w:pStyle w:val="Compact"/>
                    <w:jc w:val="left"/>
                    <w:jc w:val="center"/>
                  </w:pPr>
                  <w:r>
                    <w:t xml:space="preserve">1350.3 – 1463.6</w:t>
                  </w:r>
                </w:p>
              </w:tc>
              <w:tc>
                <w:tcPr/>
                <w:p>
                  <w:pPr>
                    <w:pStyle w:val="Compact"/>
                    <w:jc w:val="left"/>
                    <w:jc w:val="center"/>
                  </w:pPr>
                  <w:r>
                    <w:t xml:space="preserve">&lt;0.001</w:t>
                  </w:r>
                </w:p>
              </w:tc>
              <w:tc>
                <w:tcPr/>
                <w:p>
                  <w:pPr>
                    <w:pStyle w:val="Compact"/>
                    <w:jc w:val="left"/>
                    <w:jc w:val="center"/>
                  </w:pPr>
                  <w:r>
                    <w:t xml:space="preserve">1311.5</w:t>
                  </w:r>
                </w:p>
              </w:tc>
              <w:tc>
                <w:tcPr/>
                <w:p>
                  <w:pPr>
                    <w:pStyle w:val="Compact"/>
                    <w:jc w:val="left"/>
                    <w:jc w:val="center"/>
                  </w:pPr>
                  <w:r>
                    <w:t xml:space="preserve">1257.4 – 1365.7</w:t>
                  </w:r>
                </w:p>
              </w:tc>
              <w:tc>
                <w:tcPr/>
                <w:p>
                  <w:pPr>
                    <w:pStyle w:val="Compact"/>
                    <w:jc w:val="left"/>
                    <w:jc w:val="center"/>
                  </w:pPr>
                  <w:r>
                    <w:t xml:space="preserve">&lt;0.001</w:t>
                  </w:r>
                </w:p>
              </w:tc>
            </w:tr>
            <w:tr>
              <w:tc>
                <w:tcPr/>
                <w:p>
                  <w:pPr>
                    <w:pStyle w:val="Compact"/>
                    <w:jc w:val="left"/>
                    <w:jc w:val="center"/>
                  </w:pPr>
                  <w:r>
                    <w:t xml:space="preserve">% Hispanic</w:t>
                  </w:r>
                </w:p>
              </w:tc>
              <w:tc>
                <w:tcPr/>
                <w:p>
                  <w:pPr>
                    <w:pStyle w:val="Compact"/>
                    <w:jc w:val="left"/>
                    <w:jc w:val="center"/>
                  </w:pPr>
                  <w:r>
                    <w:t xml:space="preserve">-9.8</w:t>
                  </w:r>
                </w:p>
              </w:tc>
              <w:tc>
                <w:tcPr/>
                <w:p>
                  <w:pPr>
                    <w:pStyle w:val="Compact"/>
                    <w:jc w:val="left"/>
                    <w:jc w:val="center"/>
                  </w:pPr>
                  <w:r>
                    <w:t xml:space="preserve">-11.0 – -8.7</w:t>
                  </w:r>
                </w:p>
              </w:tc>
              <w:tc>
                <w:tcPr/>
                <w:p>
                  <w:pPr>
                    <w:pStyle w:val="Compact"/>
                    <w:jc w:val="left"/>
                    <w:jc w:val="center"/>
                  </w:pPr>
                  <w:r>
                    <w:t xml:space="preserve">&lt;0.001</w:t>
                  </w:r>
                </w:p>
              </w:tc>
              <w:tc>
                <w:tcPr/>
                <w:p>
                  <w:pPr>
                    <w:pStyle w:val="Compact"/>
                  </w:pPr>
                </w:p>
              </w:tc>
              <w:tc>
                <w:tcPr/>
                <w:p>
                  <w:pPr>
                    <w:pStyle w:val="Compact"/>
                  </w:pPr>
                </w:p>
              </w:tc>
              <w:tc>
                <w:tcPr/>
                <w:p>
                  <w:pPr>
                    <w:pStyle w:val="Compact"/>
                  </w:pPr>
                </w:p>
              </w:tc>
            </w:tr>
            <w:tr>
              <w:tc>
                <w:tcPr/>
                <w:p>
                  <w:pPr>
                    <w:pStyle w:val="Compact"/>
                    <w:jc w:val="left"/>
                    <w:jc w:val="center"/>
                  </w:pPr>
                  <w:r>
                    <w:t xml:space="preserve">% NH-Black</w:t>
                  </w:r>
                </w:p>
              </w:tc>
              <w:tc>
                <w:tcPr/>
                <w:p>
                  <w:pPr>
                    <w:pStyle w:val="Compact"/>
                  </w:pPr>
                </w:p>
              </w:tc>
              <w:tc>
                <w:tcPr/>
                <w:p>
                  <w:pPr>
                    <w:pStyle w:val="Compact"/>
                  </w:pPr>
                </w:p>
              </w:tc>
              <w:tc>
                <w:tcPr/>
                <w:p>
                  <w:pPr>
                    <w:pStyle w:val="Compact"/>
                  </w:pPr>
                </w:p>
              </w:tc>
              <w:tc>
                <w:tcPr/>
                <w:p>
                  <w:pPr>
                    <w:pStyle w:val="Compact"/>
                    <w:jc w:val="left"/>
                    <w:jc w:val="center"/>
                  </w:pPr>
                  <w:r>
                    <w:t xml:space="preserve">0.3</w:t>
                  </w:r>
                </w:p>
              </w:tc>
              <w:tc>
                <w:tcPr/>
                <w:p>
                  <w:pPr>
                    <w:pStyle w:val="Compact"/>
                    <w:jc w:val="left"/>
                    <w:jc w:val="center"/>
                  </w:pPr>
                  <w:r>
                    <w:t xml:space="preserve">-0.9 – 1.5</w:t>
                  </w:r>
                </w:p>
              </w:tc>
              <w:tc>
                <w:tcPr/>
                <w:p>
                  <w:pPr>
                    <w:pStyle w:val="Compact"/>
                    <w:jc w:val="left"/>
                    <w:jc w:val="center"/>
                  </w:pPr>
                  <w:r>
                    <w:t xml:space="preserve">0.657</w:t>
                  </w:r>
                </w:p>
              </w:tc>
            </w:tr>
            <w:tr>
              <w:tc>
                <w:tcPr/>
                <w:p>
                  <w:pPr>
                    <w:pStyle w:val="Compact"/>
                    <w:jc w:val="left"/>
                    <w:jc w:val="center"/>
                  </w:pPr>
                  <w:r>
                    <w:t xml:space="preserve">N</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r>
            <w:tr>
              <w:tc>
                <w:tcPr/>
                <w:p>
                  <w:pPr>
                    <w:pStyle w:val="Compact"/>
                    <w:jc w:val="left"/>
                    <w:jc w:val="center"/>
                  </w:pPr>
                  <w:r>
                    <w:t xml:space="preserve">Observations</w:t>
                  </w:r>
                </w:p>
              </w:tc>
              <w:tc>
                <w:tcPr/>
                <w:p>
                  <w:pPr>
                    <w:pStyle w:val="Compact"/>
                    <w:jc w:val="left"/>
                    <w:jc w:val="center"/>
                  </w:pPr>
                  <w:r>
                    <w:t xml:space="preserve">3079</w:t>
                  </w:r>
                </w:p>
              </w:tc>
              <w:tc>
                <w:tcPr/>
                <w:p>
                  <w:pPr>
                    <w:pStyle w:val="Compact"/>
                  </w:pPr>
                </w:p>
              </w:tc>
              <w:tc>
                <w:tcPr/>
                <w:p>
                  <w:pPr>
                    <w:pStyle w:val="Compact"/>
                  </w:pPr>
                </w:p>
              </w:tc>
              <w:tc>
                <w:tcPr/>
                <w:p>
                  <w:pPr>
                    <w:pStyle w:val="Compact"/>
                    <w:jc w:val="left"/>
                    <w:jc w:val="center"/>
                  </w:pPr>
                  <w:r>
                    <w:t xml:space="preserve">3079</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0.119 / 0.352</w:t>
                  </w:r>
                </w:p>
              </w:tc>
              <w:tc>
                <w:tcPr/>
                <w:p>
                  <w:pPr>
                    <w:pStyle w:val="Compact"/>
                  </w:pPr>
                </w:p>
              </w:tc>
              <w:tc>
                <w:tcPr/>
                <w:p>
                  <w:pPr>
                    <w:pStyle w:val="Compact"/>
                  </w:pPr>
                </w:p>
              </w:tc>
              <w:tc>
                <w:tcPr/>
                <w:p>
                  <w:pPr>
                    <w:pStyle w:val="Compact"/>
                    <w:jc w:val="left"/>
                    <w:jc w:val="center"/>
                  </w:pPr>
                  <w:r>
                    <w:t xml:space="preserve">0.000 / 0.230</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44402.708</w:t>
                  </w:r>
                </w:p>
              </w:tc>
              <w:tc>
                <w:tcPr/>
                <w:p>
                  <w:pPr>
                    <w:pStyle w:val="Compact"/>
                  </w:pPr>
                </w:p>
              </w:tc>
              <w:tc>
                <w:tcPr/>
                <w:p>
                  <w:pPr>
                    <w:pStyle w:val="Compact"/>
                  </w:pPr>
                </w:p>
              </w:tc>
              <w:tc>
                <w:tcPr/>
                <w:p>
                  <w:pPr>
                    <w:pStyle w:val="Compact"/>
                    <w:jc w:val="left"/>
                    <w:jc w:val="center"/>
                  </w:pPr>
                  <w:r>
                    <w:t xml:space="preserve">44658.061</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CI, 95% confidence interval.</w:t>
            </w:r>
          </w:p>
          <w:bookmarkEnd w:id="30"/>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1" w:name="tbl-schematic2c"/>
          <w:p>
            <w:pPr>
              <w:jc w:val="center"/>
            </w:pPr>
            <w:pPr>
              <w:jc w:val="start"/>
              <w:spacing w:before="200"/>
              <w:pStyle w:val="ImageCaption"/>
            </w:pPr>
            <w:r>
              <w:t xml:space="preserve">Table 4: Results of unadjusted multilevel linear regression.</w:t>
            </w:r>
          </w:p>
          <w:tbl>
            <w:tblPr>
              <w:tblStyle w:val="Table"/>
              <w:tblW w:type="pct" w:w="5000"/>
              <w:tblLook w:firstRow="1" w:lastRow="0" w:firstColumn="0" w:lastColumn="0" w:noHBand="0" w:noVBand="0" w:val="0020"/>
              <w:jc w:val="start"/>
              <w:tblLayout w:type="fixed"/>
            </w:tblPr>
            <w:tblGrid>
              <w:gridCol w:w="2166"/>
              <w:gridCol w:w="1046"/>
              <w:gridCol w:w="1195"/>
              <w:gridCol w:w="672"/>
              <w:gridCol w:w="1046"/>
              <w:gridCol w:w="1120"/>
              <w:gridCol w:w="672"/>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1133.5</w:t>
                  </w:r>
                </w:p>
              </w:tc>
              <w:tc>
                <w:tcPr/>
                <w:p>
                  <w:pPr>
                    <w:pStyle w:val="Compact"/>
                    <w:jc w:val="left"/>
                    <w:jc w:val="center"/>
                  </w:pPr>
                  <w:r>
                    <w:t xml:space="preserve">1080.8 – 1186.1</w:t>
                  </w:r>
                </w:p>
              </w:tc>
              <w:tc>
                <w:tcPr/>
                <w:p>
                  <w:pPr>
                    <w:pStyle w:val="Compact"/>
                    <w:jc w:val="left"/>
                    <w:jc w:val="center"/>
                  </w:pPr>
                  <w:r>
                    <w:t xml:space="preserve">&lt;0.001</w:t>
                  </w:r>
                </w:p>
              </w:tc>
              <w:tc>
                <w:tcPr/>
                <w:p>
                  <w:pPr>
                    <w:pStyle w:val="Compact"/>
                    <w:jc w:val="left"/>
                    <w:jc w:val="center"/>
                  </w:pPr>
                  <w:r>
                    <w:t xml:space="preserve">993.7</w:t>
                  </w:r>
                </w:p>
              </w:tc>
              <w:tc>
                <w:tcPr/>
                <w:p>
                  <w:pPr>
                    <w:pStyle w:val="Compact"/>
                    <w:jc w:val="left"/>
                    <w:jc w:val="center"/>
                  </w:pPr>
                  <w:r>
                    <w:t xml:space="preserve">943.8 – 1043.5</w:t>
                  </w:r>
                </w:p>
              </w:tc>
              <w:tc>
                <w:tcPr/>
                <w:p>
                  <w:pPr>
                    <w:pStyle w:val="Compact"/>
                    <w:jc w:val="left"/>
                    <w:jc w:val="center"/>
                  </w:pPr>
                  <w:r>
                    <w:t xml:space="preserve">&lt;0.001</w:t>
                  </w:r>
                </w:p>
              </w:tc>
            </w:tr>
            <w:tr>
              <w:tc>
                <w:tcPr/>
                <w:p>
                  <w:pPr>
                    <w:pStyle w:val="Compact"/>
                    <w:jc w:val="left"/>
                    <w:jc w:val="center"/>
                  </w:pPr>
                  <w:r>
                    <w:t xml:space="preserve">% No high school diploma</w:t>
                  </w:r>
                </w:p>
              </w:tc>
              <w:tc>
                <w:tcPr/>
                <w:p>
                  <w:pPr>
                    <w:pStyle w:val="Compact"/>
                    <w:jc w:val="left"/>
                    <w:jc w:val="center"/>
                  </w:pPr>
                  <w:r>
                    <w:t xml:space="preserve">16.7</w:t>
                  </w:r>
                </w:p>
              </w:tc>
              <w:tc>
                <w:tcPr/>
                <w:p>
                  <w:pPr>
                    <w:pStyle w:val="Compact"/>
                    <w:jc w:val="left"/>
                    <w:jc w:val="center"/>
                  </w:pPr>
                  <w:r>
                    <w:t xml:space="preserve">14.2 – 19.1</w:t>
                  </w:r>
                </w:p>
              </w:tc>
              <w:tc>
                <w:tcPr/>
                <w:p>
                  <w:pPr>
                    <w:pStyle w:val="Compact"/>
                    <w:jc w:val="left"/>
                    <w:jc w:val="center"/>
                  </w:pPr>
                  <w:r>
                    <w:t xml:space="preserve">&lt;0.001</w:t>
                  </w:r>
                </w:p>
              </w:tc>
              <w:tc>
                <w:tcPr/>
                <w:p>
                  <w:pPr>
                    <w:pStyle w:val="Compact"/>
                  </w:pPr>
                </w:p>
              </w:tc>
              <w:tc>
                <w:tcPr/>
                <w:p>
                  <w:pPr>
                    <w:pStyle w:val="Compact"/>
                  </w:pPr>
                </w:p>
              </w:tc>
              <w:tc>
                <w:tcPr/>
                <w:p>
                  <w:pPr>
                    <w:pStyle w:val="Compact"/>
                  </w:pPr>
                </w:p>
              </w:tc>
            </w:tr>
            <w:tr>
              <w:tc>
                <w:tcPr/>
                <w:p>
                  <w:pPr>
                    <w:pStyle w:val="Compact"/>
                    <w:jc w:val="left"/>
                    <w:jc w:val="center"/>
                  </w:pPr>
                  <w:r>
                    <w:t xml:space="preserve">% Poverty</w:t>
                  </w:r>
                </w:p>
              </w:tc>
              <w:tc>
                <w:tcPr/>
                <w:p>
                  <w:pPr>
                    <w:pStyle w:val="Compact"/>
                  </w:pPr>
                </w:p>
              </w:tc>
              <w:tc>
                <w:tcPr/>
                <w:p>
                  <w:pPr>
                    <w:pStyle w:val="Compact"/>
                  </w:pPr>
                </w:p>
              </w:tc>
              <w:tc>
                <w:tcPr/>
                <w:p>
                  <w:pPr>
                    <w:pStyle w:val="Compact"/>
                  </w:pPr>
                </w:p>
              </w:tc>
              <w:tc>
                <w:tcPr/>
                <w:p>
                  <w:pPr>
                    <w:pStyle w:val="Compact"/>
                    <w:jc w:val="left"/>
                    <w:jc w:val="center"/>
                  </w:pPr>
                  <w:r>
                    <w:t xml:space="preserve">23.5</w:t>
                  </w:r>
                </w:p>
              </w:tc>
              <w:tc>
                <w:tcPr/>
                <w:p>
                  <w:pPr>
                    <w:pStyle w:val="Compact"/>
                    <w:jc w:val="left"/>
                    <w:jc w:val="center"/>
                  </w:pPr>
                  <w:r>
                    <w:t xml:space="preserve">21.4 – 25.6</w:t>
                  </w:r>
                </w:p>
              </w:tc>
              <w:tc>
                <w:tcPr/>
                <w:p>
                  <w:pPr>
                    <w:pStyle w:val="Compact"/>
                    <w:jc w:val="left"/>
                    <w:jc w:val="center"/>
                  </w:pPr>
                  <w:r>
                    <w:t xml:space="preserve">&lt;0.001</w:t>
                  </w:r>
                </w:p>
              </w:tc>
            </w:tr>
            <w:tr>
              <w:tc>
                <w:tcPr/>
                <w:p>
                  <w:pPr>
                    <w:pStyle w:val="Compact"/>
                    <w:jc w:val="left"/>
                    <w:jc w:val="center"/>
                  </w:pPr>
                  <w:r>
                    <w:t xml:space="preserve">N</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r>
            <w:tr>
              <w:tc>
                <w:tcPr/>
                <w:p>
                  <w:pPr>
                    <w:pStyle w:val="Compact"/>
                    <w:jc w:val="left"/>
                    <w:jc w:val="center"/>
                  </w:pPr>
                  <w:r>
                    <w:t xml:space="preserve">Observations</w:t>
                  </w:r>
                </w:p>
              </w:tc>
              <w:tc>
                <w:tcPr/>
                <w:p>
                  <w:pPr>
                    <w:pStyle w:val="Compact"/>
                    <w:jc w:val="left"/>
                    <w:jc w:val="center"/>
                  </w:pPr>
                  <w:r>
                    <w:t xml:space="preserve">3079</w:t>
                  </w:r>
                </w:p>
              </w:tc>
              <w:tc>
                <w:tcPr/>
                <w:p>
                  <w:pPr>
                    <w:pStyle w:val="Compact"/>
                  </w:pPr>
                </w:p>
              </w:tc>
              <w:tc>
                <w:tcPr/>
                <w:p>
                  <w:pPr>
                    <w:pStyle w:val="Compact"/>
                  </w:pPr>
                </w:p>
              </w:tc>
              <w:tc>
                <w:tcPr/>
                <w:p>
                  <w:pPr>
                    <w:pStyle w:val="Compact"/>
                    <w:jc w:val="left"/>
                    <w:jc w:val="center"/>
                  </w:pPr>
                  <w:r>
                    <w:t xml:space="preserve">3079</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0.067 / 0.236</w:t>
                  </w:r>
                </w:p>
              </w:tc>
              <w:tc>
                <w:tcPr/>
                <w:p>
                  <w:pPr>
                    <w:pStyle w:val="Compact"/>
                  </w:pPr>
                </w:p>
              </w:tc>
              <w:tc>
                <w:tcPr/>
                <w:p>
                  <w:pPr>
                    <w:pStyle w:val="Compact"/>
                  </w:pPr>
                </w:p>
              </w:tc>
              <w:tc>
                <w:tcPr/>
                <w:p>
                  <w:pPr>
                    <w:pStyle w:val="Compact"/>
                    <w:jc w:val="left"/>
                    <w:jc w:val="center"/>
                  </w:pPr>
                  <w:r>
                    <w:t xml:space="preserve">0.150 / 0.285</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44483.556</w:t>
                  </w:r>
                </w:p>
              </w:tc>
              <w:tc>
                <w:tcPr/>
                <w:p>
                  <w:pPr>
                    <w:pStyle w:val="Compact"/>
                  </w:pPr>
                </w:p>
              </w:tc>
              <w:tc>
                <w:tcPr/>
                <w:p>
                  <w:pPr>
                    <w:pStyle w:val="Compact"/>
                  </w:pPr>
                </w:p>
              </w:tc>
              <w:tc>
                <w:tcPr/>
                <w:p>
                  <w:pPr>
                    <w:pStyle w:val="Compact"/>
                    <w:jc w:val="left"/>
                    <w:jc w:val="center"/>
                  </w:pPr>
                  <w:r>
                    <w:t xml:space="preserve">44215.238</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CI, 95% confidence interval.</w:t>
            </w:r>
          </w:p>
          <w:bookmarkEnd w:id="3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2" w:name="tbl-schematic2d"/>
          <w:p>
            <w:pPr>
              <w:jc w:val="center"/>
            </w:pPr>
            <w:pPr>
              <w:jc w:val="start"/>
              <w:spacing w:before="200"/>
              <w:pStyle w:val="ImageCaption"/>
            </w:pPr>
            <w:r>
              <w:t xml:space="preserve">Table 5: Results of unadjusted multilevel linear regression.</w:t>
            </w:r>
          </w:p>
          <w:tbl>
            <w:tblPr>
              <w:tblStyle w:val="Table"/>
              <w:tblW w:type="pct" w:w="5000"/>
              <w:tblLook w:firstRow="1" w:lastRow="0" w:firstColumn="0" w:lastColumn="0" w:noHBand="0" w:noVBand="0" w:val="0020"/>
              <w:jc w:val="start"/>
              <w:tblLayout w:type="fixed"/>
            </w:tblPr>
            <w:tblGrid>
              <w:gridCol w:w="2146"/>
              <w:gridCol w:w="1036"/>
              <w:gridCol w:w="1184"/>
              <w:gridCol w:w="666"/>
              <w:gridCol w:w="1036"/>
              <w:gridCol w:w="1184"/>
              <w:gridCol w:w="666"/>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c>
                <w:tcPr/>
                <w:p>
                  <w:pPr>
                    <w:pStyle w:val="Compact"/>
                    <w:jc w:val="left"/>
                    <w:jc w:val="center"/>
                  </w:pPr>
                  <w:r>
                    <w:t xml:space="preserve">Estimates</w:t>
                  </w:r>
                </w:p>
              </w:tc>
              <w:tc>
                <w:tcPr/>
                <w:p>
                  <w:pPr>
                    <w:pStyle w:val="Compact"/>
                    <w:jc w:val="left"/>
                    <w:jc w:val="center"/>
                  </w:pPr>
                  <w:r>
                    <w:t xml:space="preserve">CI</w:t>
                  </w:r>
                </w:p>
              </w:tc>
              <w:tc>
                <w:tcPr/>
                <w:p>
                  <w:pPr>
                    <w:pStyle w:val="Compact"/>
                    <w:jc w:val="left"/>
                    <w:jc w:val="center"/>
                  </w:pPr>
                  <w:r>
                    <w:t xml:space="preserve">p</w:t>
                  </w:r>
                </w:p>
              </w:tc>
            </w:tr>
            <w:tr>
              <w:tc>
                <w:tcPr/>
                <w:p>
                  <w:pPr>
                    <w:pStyle w:val="Compact"/>
                    <w:jc w:val="left"/>
                    <w:jc w:val="center"/>
                  </w:pPr>
                  <w:r>
                    <w:t xml:space="preserve">(Intercept)</w:t>
                  </w:r>
                </w:p>
              </w:tc>
              <w:tc>
                <w:tcPr/>
                <w:p>
                  <w:pPr>
                    <w:pStyle w:val="Compact"/>
                    <w:jc w:val="left"/>
                    <w:jc w:val="center"/>
                  </w:pPr>
                  <w:r>
                    <w:t xml:space="preserve">1137.5</w:t>
                  </w:r>
                </w:p>
              </w:tc>
              <w:tc>
                <w:tcPr/>
                <w:p>
                  <w:pPr>
                    <w:pStyle w:val="Compact"/>
                    <w:jc w:val="left"/>
                    <w:jc w:val="center"/>
                  </w:pPr>
                  <w:r>
                    <w:t xml:space="preserve">1078.6 – 1196.4</w:t>
                  </w:r>
                </w:p>
              </w:tc>
              <w:tc>
                <w:tcPr/>
                <w:p>
                  <w:pPr>
                    <w:pStyle w:val="Compact"/>
                    <w:jc w:val="left"/>
                    <w:jc w:val="center"/>
                  </w:pPr>
                  <w:r>
                    <w:t xml:space="preserve">&lt;0.001</w:t>
                  </w:r>
                </w:p>
              </w:tc>
              <w:tc>
                <w:tcPr/>
                <w:p>
                  <w:pPr>
                    <w:pStyle w:val="Compact"/>
                    <w:jc w:val="left"/>
                    <w:jc w:val="center"/>
                  </w:pPr>
                  <w:r>
                    <w:t xml:space="preserve">1200.6</w:t>
                  </w:r>
                </w:p>
              </w:tc>
              <w:tc>
                <w:tcPr/>
                <w:p>
                  <w:pPr>
                    <w:pStyle w:val="Compact"/>
                    <w:jc w:val="left"/>
                    <w:jc w:val="center"/>
                  </w:pPr>
                  <w:r>
                    <w:t xml:space="preserve">1141.8 – 1259.3</w:t>
                  </w:r>
                </w:p>
              </w:tc>
              <w:tc>
                <w:tcPr/>
                <w:p>
                  <w:pPr>
                    <w:pStyle w:val="Compact"/>
                    <w:jc w:val="left"/>
                    <w:jc w:val="center"/>
                  </w:pPr>
                  <w:r>
                    <w:t xml:space="preserve">&lt;0.001</w:t>
                  </w:r>
                </w:p>
              </w:tc>
            </w:tr>
            <w:tr>
              <w:tc>
                <w:tcPr/>
                <w:p>
                  <w:pPr>
                    <w:pStyle w:val="Compact"/>
                    <w:jc w:val="left"/>
                    <w:jc w:val="center"/>
                  </w:pPr>
                  <w:r>
                    <w:t xml:space="preserve">% Unemployed</w:t>
                  </w:r>
                </w:p>
              </w:tc>
              <w:tc>
                <w:tcPr/>
                <w:p>
                  <w:pPr>
                    <w:pStyle w:val="Compact"/>
                    <w:jc w:val="left"/>
                    <w:jc w:val="center"/>
                  </w:pPr>
                  <w:r>
                    <w:t xml:space="preserve">32.7</w:t>
                  </w:r>
                </w:p>
              </w:tc>
              <w:tc>
                <w:tcPr/>
                <w:p>
                  <w:pPr>
                    <w:pStyle w:val="Compact"/>
                    <w:jc w:val="left"/>
                    <w:jc w:val="center"/>
                  </w:pPr>
                  <w:r>
                    <w:t xml:space="preserve">27.7 – 37.7</w:t>
                  </w:r>
                </w:p>
              </w:tc>
              <w:tc>
                <w:tcPr/>
                <w:p>
                  <w:pPr>
                    <w:pStyle w:val="Compact"/>
                    <w:jc w:val="left"/>
                    <w:jc w:val="center"/>
                  </w:pPr>
                  <w:r>
                    <w:t xml:space="preserve">&lt;0.001</w:t>
                  </w:r>
                </w:p>
              </w:tc>
              <w:tc>
                <w:tcPr/>
                <w:p>
                  <w:pPr>
                    <w:pStyle w:val="Compact"/>
                  </w:pPr>
                </w:p>
              </w:tc>
              <w:tc>
                <w:tcPr/>
                <w:p>
                  <w:pPr>
                    <w:pStyle w:val="Compact"/>
                  </w:pPr>
                </w:p>
              </w:tc>
              <w:tc>
                <w:tcPr/>
                <w:p>
                  <w:pPr>
                    <w:pStyle w:val="Compact"/>
                  </w:pPr>
                </w:p>
              </w:tc>
            </w:tr>
            <w:tr>
              <w:tc>
                <w:tcPr/>
                <w:p>
                  <w:pPr>
                    <w:pStyle w:val="Compact"/>
                    <w:jc w:val="left"/>
                    <w:jc w:val="center"/>
                  </w:pPr>
                  <w:r>
                    <w:t xml:space="preserve">% No health insurance</w:t>
                  </w:r>
                </w:p>
              </w:tc>
              <w:tc>
                <w:tcPr/>
                <w:p>
                  <w:pPr>
                    <w:pStyle w:val="Compact"/>
                  </w:pPr>
                </w:p>
              </w:tc>
              <w:tc>
                <w:tcPr/>
                <w:p>
                  <w:pPr>
                    <w:pStyle w:val="Compact"/>
                  </w:pPr>
                </w:p>
              </w:tc>
              <w:tc>
                <w:tcPr/>
                <w:p>
                  <w:pPr>
                    <w:pStyle w:val="Compact"/>
                  </w:pPr>
                </w:p>
              </w:tc>
              <w:tc>
                <w:tcPr/>
                <w:p>
                  <w:pPr>
                    <w:pStyle w:val="Compact"/>
                    <w:jc w:val="left"/>
                    <w:jc w:val="center"/>
                  </w:pPr>
                  <w:r>
                    <w:t xml:space="preserve">13.0</w:t>
                  </w:r>
                </w:p>
              </w:tc>
              <w:tc>
                <w:tcPr/>
                <w:p>
                  <w:pPr>
                    <w:pStyle w:val="Compact"/>
                    <w:jc w:val="left"/>
                    <w:jc w:val="center"/>
                  </w:pPr>
                  <w:r>
                    <w:t xml:space="preserve">9.7 – 16.4</w:t>
                  </w:r>
                </w:p>
              </w:tc>
              <w:tc>
                <w:tcPr/>
                <w:p>
                  <w:pPr>
                    <w:pStyle w:val="Compact"/>
                    <w:jc w:val="left"/>
                    <w:jc w:val="center"/>
                  </w:pPr>
                  <w:r>
                    <w:t xml:space="preserve">&lt;0.001</w:t>
                  </w:r>
                </w:p>
              </w:tc>
            </w:tr>
            <w:tr>
              <w:tc>
                <w:tcPr/>
                <w:p>
                  <w:pPr>
                    <w:pStyle w:val="Compact"/>
                    <w:jc w:val="left"/>
                    <w:jc w:val="center"/>
                  </w:pPr>
                  <w:r>
                    <w:t xml:space="preserve">N</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c>
                <w:tcPr/>
                <w:p>
                  <w:pPr>
                    <w:pStyle w:val="Compact"/>
                    <w:jc w:val="left"/>
                    <w:jc w:val="center"/>
                  </w:pPr>
                  <w:r>
                    <w:t xml:space="preserve">51 state</w:t>
                  </w:r>
                </w:p>
              </w:tc>
            </w:tr>
            <w:tr>
              <w:tc>
                <w:tcPr/>
                <w:p>
                  <w:pPr>
                    <w:pStyle w:val="Compact"/>
                    <w:jc w:val="left"/>
                    <w:jc w:val="center"/>
                  </w:pPr>
                  <w:r>
                    <w:t xml:space="preserve">Observations</w:t>
                  </w:r>
                </w:p>
              </w:tc>
              <w:tc>
                <w:tcPr/>
                <w:p>
                  <w:pPr>
                    <w:pStyle w:val="Compact"/>
                    <w:jc w:val="left"/>
                    <w:jc w:val="center"/>
                  </w:pPr>
                  <w:r>
                    <w:t xml:space="preserve">3079</w:t>
                  </w:r>
                </w:p>
              </w:tc>
              <w:tc>
                <w:tcPr/>
                <w:p>
                  <w:pPr>
                    <w:pStyle w:val="Compact"/>
                  </w:pPr>
                </w:p>
              </w:tc>
              <w:tc>
                <w:tcPr/>
                <w:p>
                  <w:pPr>
                    <w:pStyle w:val="Compact"/>
                  </w:pPr>
                </w:p>
              </w:tc>
              <w:tc>
                <w:tcPr/>
                <w:p>
                  <w:pPr>
                    <w:pStyle w:val="Compact"/>
                    <w:jc w:val="left"/>
                    <w:jc w:val="center"/>
                  </w:pPr>
                  <w:r>
                    <w:t xml:space="preserve">3079</w:t>
                  </w:r>
                </w:p>
              </w:tc>
              <w:tc>
                <w:tcPr/>
                <w:p>
                  <w:pPr>
                    <w:pStyle w:val="Compact"/>
                  </w:pP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0.049 / 0.271</w:t>
                  </w:r>
                </w:p>
              </w:tc>
              <w:tc>
                <w:tcPr/>
                <w:p>
                  <w:pPr>
                    <w:pStyle w:val="Compact"/>
                  </w:pPr>
                </w:p>
              </w:tc>
              <w:tc>
                <w:tcPr/>
                <w:p>
                  <w:pPr>
                    <w:pStyle w:val="Compact"/>
                  </w:pPr>
                </w:p>
              </w:tc>
              <w:tc>
                <w:tcPr/>
                <w:p>
                  <w:pPr>
                    <w:pStyle w:val="Compact"/>
                    <w:jc w:val="left"/>
                    <w:jc w:val="center"/>
                  </w:pPr>
                  <w:r>
                    <w:t xml:space="preserve">0.030 / 0.240</w:t>
                  </w:r>
                </w:p>
              </w:tc>
              <w:tc>
                <w:tcPr/>
                <w:p>
                  <w:pPr>
                    <w:pStyle w:val="Compact"/>
                  </w:pPr>
                </w:p>
              </w:tc>
              <w:tc>
                <w:tcPr/>
                <w:p>
                  <w:pPr>
                    <w:pStyle w:val="Compact"/>
                  </w:pPr>
                </w:p>
              </w:tc>
            </w:tr>
            <w:tr>
              <w:tc>
                <w:tcPr/>
                <w:p>
                  <w:pPr>
                    <w:pStyle w:val="Compact"/>
                    <w:jc w:val="left"/>
                    <w:jc w:val="center"/>
                  </w:pPr>
                  <w:r>
                    <w:t xml:space="preserve">AIC</w:t>
                  </w:r>
                </w:p>
              </w:tc>
              <w:tc>
                <w:tcPr/>
                <w:p>
                  <w:pPr>
                    <w:pStyle w:val="Compact"/>
                    <w:jc w:val="left"/>
                    <w:jc w:val="center"/>
                  </w:pPr>
                  <w:r>
                    <w:t xml:space="preserve">44494.841</w:t>
                  </w:r>
                </w:p>
              </w:tc>
              <w:tc>
                <w:tcPr/>
                <w:p>
                  <w:pPr>
                    <w:pStyle w:val="Compact"/>
                  </w:pPr>
                </w:p>
              </w:tc>
              <w:tc>
                <w:tcPr/>
                <w:p>
                  <w:pPr>
                    <w:pStyle w:val="Compact"/>
                  </w:pPr>
                </w:p>
              </w:tc>
              <w:tc>
                <w:tcPr/>
                <w:p>
                  <w:pPr>
                    <w:pStyle w:val="Compact"/>
                    <w:jc w:val="left"/>
                    <w:jc w:val="center"/>
                  </w:pPr>
                  <w:r>
                    <w:t xml:space="preserve">44598.291</w:t>
                  </w:r>
                </w:p>
              </w:tc>
              <w:tc>
                <w:tcPr/>
                <w:p>
                  <w:pPr>
                    <w:pStyle w:val="Compact"/>
                  </w:pPr>
                </w:p>
              </w:tc>
              <w:tc>
                <w:tcPr/>
                <w:p>
                  <w:pPr>
                    <w:pStyle w:val="Compact"/>
                  </w:pPr>
                </w:p>
              </w:tc>
            </w:tr>
          </w:tbl>
          <w:p>
            <w:pPr>
              <w:jc w:val="center"/>
            </w:pPr>
            <w:r>
              <w:rPr>
                <w:bCs/>
                <w:b/>
              </w:rPr>
              <w:t xml:space="preserve">Note:</w:t>
            </w:r>
            <w:r>
              <w:t xml:space="preserve"> </w:t>
            </w:r>
            <w:r>
              <w:rPr>
                <w:vertAlign w:val="superscript"/>
              </w:rPr>
              <w:t xml:space="preserve">a</w:t>
            </w:r>
            <w:r>
              <w:t xml:space="preserve">CI, 95% confidence interval.</w:t>
            </w:r>
          </w:p>
          <w:bookmarkEnd w:id="32"/>
        </w:tc>
      </w:tr>
    </w:tbl>
    <w:bookmarkEnd w:id="33"/>
    <w:bookmarkStart w:id="44" w:name="full-analysis"/>
    <w:p>
      <w:pPr>
        <w:pStyle w:val="Heading2"/>
      </w:pPr>
      <w:r>
        <w:t xml:space="preserve">4.3 Full analysis</w:t>
      </w:r>
    </w:p>
    <w:p>
      <w:pPr>
        <w:pStyle w:val="FirstParagraph"/>
      </w:pPr>
      <w:r>
        <w:t xml:space="preserve">With cross-validation, the random forest model yielded better performance than the the multilevel linear model with all covariates (supplement material). Since the random forest model results are not as interpretable as the results from the multilevel linear model, results for both models are reported. The parameter estimates from the multilevel linear model help us understand how the mortality rate is related to the PCP supply.</w:t>
      </w:r>
    </w:p>
    <w:p>
      <w:pPr>
        <w:pStyle w:val="BodyText"/>
      </w:pPr>
      <w:r>
        <w:t xml:space="preserve">A. Multilevel Linear Regression</w:t>
      </w:r>
    </w:p>
    <w:p>
      <w:pPr>
        <w:pStyle w:val="BodyText"/>
      </w:pPr>
      <w:r>
        <w:t xml:space="preserve">The train set contained 2463 counties from all the 51 states. After adjusting for socioeconomic measures, the effect of log-transformed PCP supply on mortality rate was attenuated but still significant (beta=-19.9, 95% CI=-25.0–14.7). Non-metro counties had significantly higher mortality rates (beta=177.8, 95% CI=153.4-202.3); %Hispanic (beta=-13.4, 95% CI=-14.6 - -12.2) and %NH-Black (beta=-4.2, 95% CI=-5.2–3.1) were significantly associated with mortality rate; both %No high school diploma (beta=15.0, 95% CI=12.0 -18.1), %Poverty (beta=15.0, 95% CI=12.4–17.7) and %Unemployed (beta=8.7, 95% CI=3.5–13.9) were positively associated with mortality rates; %No health insurance (beta=-4.3, 95% CI=-7.8 –0.8) was negatively associated with mortality rates (Table6). In Figure 2, the predicted/observed values for the test data illustrated similar distribution with the train data, indicating absence of considerable over-fitting of the model.</w:t>
      </w:r>
    </w:p>
    <w:tbl>
      <w:tblPr>
        <w:tblStyle w:val="Table"/>
        <w:tblW w:type="pct" w:w="5000"/>
        <w:tblLook w:firstRow="0" w:lastRow="0" w:firstColumn="0" w:lastColumn="0" w:noHBand="0" w:noVBand="0" w:val="0000"/>
        <w:jc w:val="start"/>
        <w:tblLayout w:type="fixed"/>
      </w:tblPr>
      <w:tblGrid>
        <w:gridCol w:w="7920"/>
      </w:tblGrid>
      <w:tr>
        <w:tc>
          <w:tcPr/>
          <w:bookmarkStart w:id="34" w:name="tbl-schematic_model"/>
          <w:p>
            <w:pPr>
              <w:jc w:val="center"/>
            </w:pPr>
            <w:pPr>
              <w:jc w:val="start"/>
              <w:spacing w:before="200"/>
              <w:pStyle w:val="ImageCaption"/>
            </w:pPr>
            <w:r>
              <w:t xml:space="preserve">Table 6: Results of multivariate multilevel linear regression.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Predictors</w:t>
                  </w:r>
                </w:p>
              </w:tc>
              <w:tc>
                <w:tcPr/>
                <w:p>
                  <w:pPr>
                    <w:pStyle w:val="Compact"/>
                    <w:jc w:val="left"/>
                    <w:jc w:val="center"/>
                  </w:pPr>
                  <w:r>
                    <w:t xml:space="preserve">Estimates</w:t>
                  </w:r>
                </w:p>
              </w:tc>
              <w:tc>
                <w:tcPr/>
                <w:p>
                  <w:pPr>
                    <w:pStyle w:val="Compact"/>
                    <w:jc w:val="left"/>
                    <w:jc w:val="center"/>
                  </w:pPr>
                  <w:r>
                    <w:t xml:space="preserve">CI</w:t>
                  </w:r>
                </w:p>
              </w:tc>
            </w:tr>
            <w:tr>
              <w:tc>
                <w:tcPr/>
                <w:p>
                  <w:pPr>
                    <w:pStyle w:val="Compact"/>
                    <w:jc w:val="left"/>
                    <w:jc w:val="center"/>
                  </w:pPr>
                  <w:r>
                    <w:t xml:space="preserve">(Intercept)</w:t>
                  </w:r>
                </w:p>
              </w:tc>
              <w:tc>
                <w:tcPr/>
                <w:p>
                  <w:pPr>
                    <w:pStyle w:val="Compact"/>
                    <w:jc w:val="left"/>
                    <w:jc w:val="center"/>
                  </w:pPr>
                  <w:r>
                    <w:t xml:space="preserve">1057.6</w:t>
                  </w:r>
                </w:p>
              </w:tc>
              <w:tc>
                <w:tcPr/>
                <w:p>
                  <w:pPr>
                    <w:pStyle w:val="Compact"/>
                    <w:jc w:val="left"/>
                    <w:jc w:val="center"/>
                  </w:pPr>
                  <w:r>
                    <w:t xml:space="preserve">999.2 – 1116.1</w:t>
                  </w:r>
                </w:p>
              </w:tc>
            </w:tr>
            <w:tr>
              <w:tc>
                <w:tcPr/>
                <w:p>
                  <w:pPr>
                    <w:pStyle w:val="Compact"/>
                    <w:jc w:val="left"/>
                    <w:jc w:val="center"/>
                  </w:pPr>
                  <w:r>
                    <w:t xml:space="preserve">PCP supply</w:t>
                  </w:r>
                </w:p>
              </w:tc>
              <w:tc>
                <w:tcPr/>
                <w:p>
                  <w:pPr>
                    <w:pStyle w:val="Compact"/>
                    <w:jc w:val="left"/>
                    <w:jc w:val="center"/>
                  </w:pPr>
                  <w:r>
                    <w:t xml:space="preserve">-19.9</w:t>
                  </w:r>
                </w:p>
              </w:tc>
              <w:tc>
                <w:tcPr/>
                <w:p>
                  <w:pPr>
                    <w:pStyle w:val="Compact"/>
                    <w:jc w:val="left"/>
                    <w:jc w:val="center"/>
                  </w:pPr>
                  <w:r>
                    <w:t xml:space="preserve">-25.0 – -14.7</w:t>
                  </w:r>
                </w:p>
              </w:tc>
            </w:tr>
            <w:tr>
              <w:tc>
                <w:tcPr/>
                <w:p>
                  <w:pPr>
                    <w:pStyle w:val="Compact"/>
                    <w:jc w:val="left"/>
                    <w:jc w:val="center"/>
                  </w:pPr>
                  <w:r>
                    <w:t xml:space="preserve">Metropolitan status:Non-metro</w:t>
                  </w:r>
                </w:p>
              </w:tc>
              <w:tc>
                <w:tcPr/>
                <w:p>
                  <w:pPr>
                    <w:pStyle w:val="Compact"/>
                    <w:jc w:val="left"/>
                    <w:jc w:val="center"/>
                  </w:pPr>
                  <w:r>
                    <w:t xml:space="preserve">177.8</w:t>
                  </w:r>
                </w:p>
              </w:tc>
              <w:tc>
                <w:tcPr/>
                <w:p>
                  <w:pPr>
                    <w:pStyle w:val="Compact"/>
                    <w:jc w:val="left"/>
                    <w:jc w:val="center"/>
                  </w:pPr>
                  <w:r>
                    <w:t xml:space="preserve">153.4 – 202.3</w:t>
                  </w:r>
                </w:p>
              </w:tc>
            </w:tr>
            <w:tr>
              <w:tc>
                <w:tcPr/>
                <w:p>
                  <w:pPr>
                    <w:pStyle w:val="Compact"/>
                    <w:jc w:val="left"/>
                    <w:jc w:val="center"/>
                  </w:pPr>
                  <w:r>
                    <w:t xml:space="preserve">% Hispanic</w:t>
                  </w:r>
                </w:p>
              </w:tc>
              <w:tc>
                <w:tcPr/>
                <w:p>
                  <w:pPr>
                    <w:pStyle w:val="Compact"/>
                    <w:jc w:val="left"/>
                    <w:jc w:val="center"/>
                  </w:pPr>
                  <w:r>
                    <w:t xml:space="preserve">-13.4</w:t>
                  </w:r>
                </w:p>
              </w:tc>
              <w:tc>
                <w:tcPr/>
                <w:p>
                  <w:pPr>
                    <w:pStyle w:val="Compact"/>
                    <w:jc w:val="left"/>
                    <w:jc w:val="center"/>
                  </w:pPr>
                  <w:r>
                    <w:t xml:space="preserve">-14.6 – -12.2</w:t>
                  </w:r>
                </w:p>
              </w:tc>
            </w:tr>
            <w:tr>
              <w:tc>
                <w:tcPr/>
                <w:p>
                  <w:pPr>
                    <w:pStyle w:val="Compact"/>
                    <w:jc w:val="left"/>
                    <w:jc w:val="center"/>
                  </w:pPr>
                  <w:r>
                    <w:t xml:space="preserve">% NH-Black</w:t>
                  </w:r>
                </w:p>
              </w:tc>
              <w:tc>
                <w:tcPr/>
                <w:p>
                  <w:pPr>
                    <w:pStyle w:val="Compact"/>
                    <w:jc w:val="left"/>
                    <w:jc w:val="center"/>
                  </w:pPr>
                  <w:r>
                    <w:t xml:space="preserve">-4.2</w:t>
                  </w:r>
                </w:p>
              </w:tc>
              <w:tc>
                <w:tcPr/>
                <w:p>
                  <w:pPr>
                    <w:pStyle w:val="Compact"/>
                    <w:jc w:val="left"/>
                    <w:jc w:val="center"/>
                  </w:pPr>
                  <w:r>
                    <w:t xml:space="preserve">-5.2 – -3.1</w:t>
                  </w:r>
                </w:p>
              </w:tc>
            </w:tr>
            <w:tr>
              <w:tc>
                <w:tcPr/>
                <w:p>
                  <w:pPr>
                    <w:pStyle w:val="Compact"/>
                    <w:jc w:val="left"/>
                    <w:jc w:val="center"/>
                  </w:pPr>
                  <w:r>
                    <w:t xml:space="preserve">% No high school diploma</w:t>
                  </w:r>
                </w:p>
              </w:tc>
              <w:tc>
                <w:tcPr/>
                <w:p>
                  <w:pPr>
                    <w:pStyle w:val="Compact"/>
                    <w:jc w:val="left"/>
                    <w:jc w:val="center"/>
                  </w:pPr>
                  <w:r>
                    <w:t xml:space="preserve">15.0</w:t>
                  </w:r>
                </w:p>
              </w:tc>
              <w:tc>
                <w:tcPr/>
                <w:p>
                  <w:pPr>
                    <w:pStyle w:val="Compact"/>
                    <w:jc w:val="left"/>
                    <w:jc w:val="center"/>
                  </w:pPr>
                  <w:r>
                    <w:t xml:space="preserve">12.0 – 18.1</w:t>
                  </w:r>
                </w:p>
              </w:tc>
            </w:tr>
            <w:tr>
              <w:tc>
                <w:tcPr/>
                <w:p>
                  <w:pPr>
                    <w:pStyle w:val="Compact"/>
                    <w:jc w:val="left"/>
                    <w:jc w:val="center"/>
                  </w:pPr>
                  <w:r>
                    <w:t xml:space="preserve">% Poverty</w:t>
                  </w:r>
                </w:p>
              </w:tc>
              <w:tc>
                <w:tcPr/>
                <w:p>
                  <w:pPr>
                    <w:pStyle w:val="Compact"/>
                    <w:jc w:val="left"/>
                    <w:jc w:val="center"/>
                  </w:pPr>
                  <w:r>
                    <w:t xml:space="preserve">15.0</w:t>
                  </w:r>
                </w:p>
              </w:tc>
              <w:tc>
                <w:tcPr/>
                <w:p>
                  <w:pPr>
                    <w:pStyle w:val="Compact"/>
                    <w:jc w:val="left"/>
                    <w:jc w:val="center"/>
                  </w:pPr>
                  <w:r>
                    <w:t xml:space="preserve">12.4 – 17.7</w:t>
                  </w:r>
                </w:p>
              </w:tc>
            </w:tr>
            <w:tr>
              <w:tc>
                <w:tcPr/>
                <w:p>
                  <w:pPr>
                    <w:pStyle w:val="Compact"/>
                    <w:jc w:val="left"/>
                    <w:jc w:val="center"/>
                  </w:pPr>
                  <w:r>
                    <w:t xml:space="preserve">% Unemployed</w:t>
                  </w:r>
                </w:p>
              </w:tc>
              <w:tc>
                <w:tcPr/>
                <w:p>
                  <w:pPr>
                    <w:pStyle w:val="Compact"/>
                    <w:jc w:val="left"/>
                    <w:jc w:val="center"/>
                  </w:pPr>
                  <w:r>
                    <w:t xml:space="preserve">8.7</w:t>
                  </w:r>
                </w:p>
              </w:tc>
              <w:tc>
                <w:tcPr/>
                <w:p>
                  <w:pPr>
                    <w:pStyle w:val="Compact"/>
                    <w:jc w:val="left"/>
                    <w:jc w:val="center"/>
                  </w:pPr>
                  <w:r>
                    <w:t xml:space="preserve">3.5 – 13.9</w:t>
                  </w:r>
                </w:p>
              </w:tc>
            </w:tr>
            <w:tr>
              <w:tc>
                <w:tcPr/>
                <w:p>
                  <w:pPr>
                    <w:pStyle w:val="Compact"/>
                    <w:jc w:val="left"/>
                    <w:jc w:val="center"/>
                  </w:pPr>
                  <w:r>
                    <w:t xml:space="preserve">% No health insurance</w:t>
                  </w:r>
                </w:p>
              </w:tc>
              <w:tc>
                <w:tcPr/>
                <w:p>
                  <w:pPr>
                    <w:pStyle w:val="Compact"/>
                    <w:jc w:val="left"/>
                    <w:jc w:val="center"/>
                  </w:pPr>
                  <w:r>
                    <w:t xml:space="preserve">-4.3</w:t>
                  </w:r>
                </w:p>
              </w:tc>
              <w:tc>
                <w:tcPr/>
                <w:p>
                  <w:pPr>
                    <w:pStyle w:val="Compact"/>
                    <w:jc w:val="left"/>
                    <w:jc w:val="center"/>
                  </w:pPr>
                  <w:r>
                    <w:t xml:space="preserve">-7.8 – -0.8</w:t>
                  </w:r>
                </w:p>
              </w:tc>
            </w:tr>
            <w:tr>
              <w:tc>
                <w:tcPr/>
                <w:p>
                  <w:pPr>
                    <w:pStyle w:val="Compact"/>
                    <w:jc w:val="left"/>
                    <w:jc w:val="center"/>
                  </w:pPr>
                  <w:r>
                    <w:t xml:space="preserve">N state</w:t>
                  </w:r>
                </w:p>
              </w:tc>
              <w:tc>
                <w:tcPr/>
                <w:p>
                  <w:pPr>
                    <w:pStyle w:val="Compact"/>
                    <w:jc w:val="left"/>
                    <w:jc w:val="center"/>
                  </w:pPr>
                  <w:r>
                    <w:t xml:space="preserve">51</w:t>
                  </w:r>
                </w:p>
              </w:tc>
              <w:tc>
                <w:tcPr/>
                <w:p>
                  <w:pPr>
                    <w:pStyle w:val="Compact"/>
                    <w:jc w:val="left"/>
                    <w:jc w:val="center"/>
                  </w:pPr>
                  <w:r>
                    <w:t xml:space="preserve">51</w:t>
                  </w:r>
                </w:p>
              </w:tc>
            </w:tr>
            <w:tr>
              <w:tc>
                <w:tcPr/>
                <w:p>
                  <w:pPr>
                    <w:pStyle w:val="Compact"/>
                    <w:jc w:val="left"/>
                    <w:jc w:val="center"/>
                  </w:pPr>
                  <w:r>
                    <w:t xml:space="preserve">Observations</w:t>
                  </w:r>
                </w:p>
              </w:tc>
              <w:tc>
                <w:tcPr/>
                <w:p>
                  <w:pPr>
                    <w:pStyle w:val="Compact"/>
                    <w:jc w:val="left"/>
                    <w:jc w:val="center"/>
                  </w:pPr>
                  <w:r>
                    <w:t xml:space="preserve">2463</w:t>
                  </w:r>
                </w:p>
              </w:tc>
              <w:tc>
                <w:tcPr/>
                <w:p>
                  <w:pPr>
                    <w:pStyle w:val="Compact"/>
                  </w:pPr>
                </w:p>
              </w:tc>
            </w:tr>
            <w:tr>
              <w:tc>
                <w:tcPr/>
                <w:p>
                  <w:pPr>
                    <w:pStyle w:val="Compact"/>
                    <w:jc w:val="left"/>
                    <w:jc w:val="center"/>
                  </w:pPr>
                  <w:r>
                    <w:t xml:space="preserve">Marginal R2 / Conditional R2</w:t>
                  </w:r>
                </w:p>
              </w:tc>
              <w:tc>
                <w:tcPr/>
                <w:p>
                  <w:pPr>
                    <w:pStyle w:val="Compact"/>
                    <w:jc w:val="left"/>
                    <w:jc w:val="center"/>
                  </w:pPr>
                  <w:r>
                    <w:t xml:space="preserve">0.422 / 0.559</w:t>
                  </w:r>
                </w:p>
              </w:tc>
              <w:tc>
                <w:tcPr/>
                <w:p>
                  <w:pPr>
                    <w:pStyle w:val="Compact"/>
                  </w:pPr>
                </w:p>
              </w:tc>
            </w:tr>
            <w:tr>
              <w:tc>
                <w:tcPr/>
                <w:p>
                  <w:pPr>
                    <w:pStyle w:val="Compact"/>
                    <w:jc w:val="left"/>
                    <w:jc w:val="center"/>
                  </w:pPr>
                  <w:r>
                    <w:t xml:space="preserve">AIC</w:t>
                  </w:r>
                </w:p>
              </w:tc>
              <w:tc>
                <w:tcPr/>
                <w:p>
                  <w:pPr>
                    <w:pStyle w:val="Compact"/>
                    <w:jc w:val="left"/>
                    <w:jc w:val="center"/>
                  </w:pPr>
                  <w:r>
                    <w:t xml:space="preserve">34403.777</w:t>
                  </w:r>
                </w:p>
              </w:tc>
              <w:tc>
                <w:tcPr/>
                <w:p>
                  <w:pPr>
                    <w:pStyle w:val="Compact"/>
                  </w:pPr>
                </w:p>
              </w:tc>
            </w:tr>
          </w:tbl>
          <w:p>
            <w:pPr>
              <w:jc w:val="center"/>
            </w:pPr>
            <w:r>
              <w:rPr>
                <w:bCs/>
                <w:b/>
              </w:rPr>
              <w:t xml:space="preserve">Note:</w:t>
            </w:r>
            <w:r>
              <w:t xml:space="preserve"> </w:t>
            </w:r>
            <w:r>
              <w:rPr>
                <w:vertAlign w:val="superscript"/>
              </w:rPr>
              <w:t xml:space="preserve">a</w:t>
            </w:r>
            <w:r>
              <w:t xml:space="preserve">CI, 95% confidence interval.</w:t>
            </w:r>
          </w:p>
          <w:bookmarkEnd w:id="34"/>
        </w:tc>
      </w:tr>
    </w:tbl>
    <w:tbl>
      <w:tblPr>
        <w:tblStyle w:val="Table"/>
        <w:tblW w:type="pct" w:w="5000"/>
        <w:tblLook w:firstRow="0" w:lastRow="0" w:firstColumn="0" w:lastColumn="0" w:noHBand="0" w:noVBand="0" w:val="0000"/>
        <w:jc w:val="start"/>
        <w:tblLayout w:type="fixed"/>
      </w:tblPr>
      <w:tblGrid>
        <w:gridCol w:w="7920"/>
      </w:tblGrid>
      <w:tr>
        <w:tc>
          <w:tcPr/>
          <w:bookmarkStart w:id="38" w:name="fig-schematic_test"/>
          <w:p>
            <w:pPr>
              <w:pStyle w:val="Compact"/>
              <w:jc w:val="center"/>
            </w:pPr>
            <w:r>
              <w:drawing>
                <wp:inline>
                  <wp:extent cx="5334000" cy="3807460"/>
                  <wp:effectExtent b="0" l="0" r="0" t="0"/>
                  <wp:docPr descr="" title="" id="36" name="Picture"/>
                  <a:graphic>
                    <a:graphicData uri="http://schemas.openxmlformats.org/drawingml/2006/picture">
                      <pic:pic>
                        <pic:nvPicPr>
                          <pic:cNvPr descr="../../results/analysis/train_test_plot.png" id="37" name="Picture"/>
                          <pic:cNvPicPr>
                            <a:picLocks noChangeArrowheads="1" noChangeAspect="1"/>
                          </pic:cNvPicPr>
                        </pic:nvPicPr>
                        <pic:blipFill>
                          <a:blip r:embed="rId35"/>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Predicted vs Observed Values by Train/Test Data (Multilevel Linear Regression)</w:t>
            </w:r>
          </w:p>
          <w:bookmarkEnd w:id="38"/>
        </w:tc>
      </w:tr>
    </w:tbl>
    <w:p>
      <w:pPr>
        <w:pStyle w:val="BodyText"/>
      </w:pPr>
      <w:r>
        <w:t xml:space="preserve">B. Random Forest Model</w:t>
      </w:r>
    </w:p>
    <w:p>
      <w:pPr>
        <w:pStyle w:val="BodyText"/>
      </w:pPr>
      <w:r>
        <w:t xml:space="preserve">With the same train set, a random forest with 100 trees was fitted. According to the importance variable table, the mean squared error(MSE) would increase by 10.5% if PCP supply is removed from the model, and node purity would increase by 19664217 by splits on PCP supply. The overall importance of PCP supply is generally low among the variables inspected. The MSE would increase by 28.6% if %Hispanic is removed from the model, and node purity would increase by 69864543 by splits on state, making these two measures the most important variables in predicting all-cause mortality rate. In Figure 3, the predicted values were fairly close to the observed values for the test data, indicating a good performance of the random forest model. However, the model performed slightly better for the train set compared to the test set. This might indicate the presence of slight over-fitting of the random forest model.</w:t>
      </w:r>
    </w:p>
    <w:tbl>
      <w:tblPr>
        <w:tblStyle w:val="Table"/>
        <w:tblW w:type="pct" w:w="5000"/>
        <w:tblLook w:firstRow="0" w:lastRow="0" w:firstColumn="0" w:lastColumn="0" w:noHBand="0" w:noVBand="0" w:val="0000"/>
        <w:jc w:val="start"/>
        <w:tblLayout w:type="fixed"/>
      </w:tblPr>
      <w:tblGrid>
        <w:gridCol w:w="7920"/>
      </w:tblGrid>
      <w:tr>
        <w:tc>
          <w:tcPr/>
          <w:bookmarkStart w:id="39" w:name="tbl-schematic_rf"/>
          <w:p>
            <w:pPr>
              <w:jc w:val="center"/>
            </w:pPr>
            <w:pPr>
              <w:jc w:val="start"/>
              <w:spacing w:before="200"/>
              <w:pStyle w:val="ImageCaption"/>
            </w:pPr>
            <w:r>
              <w:t xml:space="preserve">Table 7: Variable Importance in the Random Forest Model.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jc w:val="center"/>
                  </w:pPr>
                  <w:r>
                    <w:t xml:space="preserve">%IncMSE</w:t>
                  </w:r>
                </w:p>
              </w:tc>
              <w:tc>
                <w:tcPr/>
                <w:p>
                  <w:pPr>
                    <w:pStyle w:val="Compact"/>
                    <w:jc w:val="right"/>
                    <w:jc w:val="center"/>
                  </w:pPr>
                  <w:r>
                    <w:t xml:space="preserve">IncNodePurity</w:t>
                  </w:r>
                </w:p>
              </w:tc>
            </w:tr>
            <w:tr>
              <w:tc>
                <w:tcPr/>
                <w:p>
                  <w:pPr>
                    <w:pStyle w:val="Compact"/>
                    <w:jc w:val="left"/>
                    <w:jc w:val="center"/>
                  </w:pPr>
                  <w:r>
                    <w:t xml:space="preserve">pcp_100k</w:t>
                  </w:r>
                </w:p>
              </w:tc>
              <w:tc>
                <w:tcPr/>
                <w:p>
                  <w:pPr>
                    <w:pStyle w:val="Compact"/>
                    <w:jc w:val="right"/>
                    <w:jc w:val="center"/>
                  </w:pPr>
                  <w:r>
                    <w:t xml:space="preserve">12.962581</w:t>
                  </w:r>
                </w:p>
              </w:tc>
              <w:tc>
                <w:tcPr/>
                <w:p>
                  <w:pPr>
                    <w:pStyle w:val="Compact"/>
                    <w:jc w:val="right"/>
                    <w:jc w:val="center"/>
                  </w:pPr>
                  <w:r>
                    <w:t xml:space="preserve">20550823</w:t>
                  </w:r>
                </w:p>
              </w:tc>
            </w:tr>
            <w:tr>
              <w:tc>
                <w:tcPr/>
                <w:p>
                  <w:pPr>
                    <w:pStyle w:val="Compact"/>
                    <w:jc w:val="left"/>
                    <w:jc w:val="center"/>
                  </w:pPr>
                  <w:r>
                    <w:t xml:space="preserve">metro</w:t>
                  </w:r>
                </w:p>
              </w:tc>
              <w:tc>
                <w:tcPr/>
                <w:p>
                  <w:pPr>
                    <w:pStyle w:val="Compact"/>
                    <w:jc w:val="right"/>
                    <w:jc w:val="center"/>
                  </w:pPr>
                  <w:r>
                    <w:t xml:space="preserve">18.188469</w:t>
                  </w:r>
                </w:p>
              </w:tc>
              <w:tc>
                <w:tcPr/>
                <w:p>
                  <w:pPr>
                    <w:pStyle w:val="Compact"/>
                    <w:jc w:val="right"/>
                    <w:jc w:val="center"/>
                  </w:pPr>
                  <w:r>
                    <w:t xml:space="preserve">26815520</w:t>
                  </w:r>
                </w:p>
              </w:tc>
            </w:tr>
            <w:tr>
              <w:tc>
                <w:tcPr/>
                <w:p>
                  <w:pPr>
                    <w:pStyle w:val="Compact"/>
                    <w:jc w:val="left"/>
                    <w:jc w:val="center"/>
                  </w:pPr>
                  <w:r>
                    <w:t xml:space="preserve">hispanic_pct</w:t>
                  </w:r>
                </w:p>
              </w:tc>
              <w:tc>
                <w:tcPr/>
                <w:p>
                  <w:pPr>
                    <w:pStyle w:val="Compact"/>
                    <w:jc w:val="right"/>
                    <w:jc w:val="center"/>
                  </w:pPr>
                  <w:r>
                    <w:t xml:space="preserve">34.709598</w:t>
                  </w:r>
                </w:p>
              </w:tc>
              <w:tc>
                <w:tcPr/>
                <w:p>
                  <w:pPr>
                    <w:pStyle w:val="Compact"/>
                    <w:jc w:val="right"/>
                    <w:jc w:val="center"/>
                  </w:pPr>
                  <w:r>
                    <w:t xml:space="preserve">46402900</w:t>
                  </w:r>
                </w:p>
              </w:tc>
            </w:tr>
            <w:tr>
              <w:tc>
                <w:tcPr/>
                <w:p>
                  <w:pPr>
                    <w:pStyle w:val="Compact"/>
                    <w:jc w:val="left"/>
                    <w:jc w:val="center"/>
                  </w:pPr>
                  <w:r>
                    <w:t xml:space="preserve">NHB_pct</w:t>
                  </w:r>
                </w:p>
              </w:tc>
              <w:tc>
                <w:tcPr/>
                <w:p>
                  <w:pPr>
                    <w:pStyle w:val="Compact"/>
                    <w:jc w:val="right"/>
                    <w:jc w:val="center"/>
                  </w:pPr>
                  <w:r>
                    <w:t xml:space="preserve">13.837108</w:t>
                  </w:r>
                </w:p>
              </w:tc>
              <w:tc>
                <w:tcPr/>
                <w:p>
                  <w:pPr>
                    <w:pStyle w:val="Compact"/>
                    <w:jc w:val="right"/>
                    <w:jc w:val="center"/>
                  </w:pPr>
                  <w:r>
                    <w:t xml:space="preserve">21018545</w:t>
                  </w:r>
                </w:p>
              </w:tc>
            </w:tr>
            <w:tr>
              <w:tc>
                <w:tcPr/>
                <w:p>
                  <w:pPr>
                    <w:pStyle w:val="Compact"/>
                    <w:jc w:val="left"/>
                    <w:jc w:val="center"/>
                  </w:pPr>
                  <w:r>
                    <w:t xml:space="preserve">noHS_pct</w:t>
                  </w:r>
                </w:p>
              </w:tc>
              <w:tc>
                <w:tcPr/>
                <w:p>
                  <w:pPr>
                    <w:pStyle w:val="Compact"/>
                    <w:jc w:val="right"/>
                    <w:jc w:val="center"/>
                  </w:pPr>
                  <w:r>
                    <w:t xml:space="preserve">26.634353</w:t>
                  </w:r>
                </w:p>
              </w:tc>
              <w:tc>
                <w:tcPr/>
                <w:p>
                  <w:pPr>
                    <w:pStyle w:val="Compact"/>
                    <w:jc w:val="right"/>
                    <w:jc w:val="center"/>
                  </w:pPr>
                  <w:r>
                    <w:t xml:space="preserve">40989818</w:t>
                  </w:r>
                </w:p>
              </w:tc>
            </w:tr>
            <w:tr>
              <w:tc>
                <w:tcPr/>
                <w:p>
                  <w:pPr>
                    <w:pStyle w:val="Compact"/>
                    <w:jc w:val="left"/>
                    <w:jc w:val="center"/>
                  </w:pPr>
                  <w:r>
                    <w:t xml:space="preserve">poverty_pct</w:t>
                  </w:r>
                </w:p>
              </w:tc>
              <w:tc>
                <w:tcPr/>
                <w:p>
                  <w:pPr>
                    <w:pStyle w:val="Compact"/>
                    <w:jc w:val="right"/>
                    <w:jc w:val="center"/>
                  </w:pPr>
                  <w:r>
                    <w:t xml:space="preserve">23.091889</w:t>
                  </w:r>
                </w:p>
              </w:tc>
              <w:tc>
                <w:tcPr/>
                <w:p>
                  <w:pPr>
                    <w:pStyle w:val="Compact"/>
                    <w:jc w:val="right"/>
                    <w:jc w:val="center"/>
                  </w:pPr>
                  <w:r>
                    <w:t xml:space="preserve">52554444</w:t>
                  </w:r>
                </w:p>
              </w:tc>
            </w:tr>
            <w:tr>
              <w:tc>
                <w:tcPr/>
                <w:p>
                  <w:pPr>
                    <w:pStyle w:val="Compact"/>
                    <w:jc w:val="left"/>
                    <w:jc w:val="center"/>
                  </w:pPr>
                  <w:r>
                    <w:t xml:space="preserve">unemployed_pct</w:t>
                  </w:r>
                </w:p>
              </w:tc>
              <w:tc>
                <w:tcPr/>
                <w:p>
                  <w:pPr>
                    <w:pStyle w:val="Compact"/>
                    <w:jc w:val="right"/>
                    <w:jc w:val="center"/>
                  </w:pPr>
                  <w:r>
                    <w:t xml:space="preserve">8.117294</w:t>
                  </w:r>
                </w:p>
              </w:tc>
              <w:tc>
                <w:tcPr/>
                <w:p>
                  <w:pPr>
                    <w:pStyle w:val="Compact"/>
                    <w:jc w:val="right"/>
                    <w:jc w:val="center"/>
                  </w:pPr>
                  <w:r>
                    <w:t xml:space="preserve">20576494</w:t>
                  </w:r>
                </w:p>
              </w:tc>
            </w:tr>
            <w:tr>
              <w:tc>
                <w:tcPr/>
                <w:p>
                  <w:pPr>
                    <w:pStyle w:val="Compact"/>
                    <w:jc w:val="left"/>
                    <w:jc w:val="center"/>
                  </w:pPr>
                  <w:r>
                    <w:t xml:space="preserve">uninsured_pct</w:t>
                  </w:r>
                </w:p>
              </w:tc>
              <w:tc>
                <w:tcPr/>
                <w:p>
                  <w:pPr>
                    <w:pStyle w:val="Compact"/>
                    <w:jc w:val="right"/>
                    <w:jc w:val="center"/>
                  </w:pPr>
                  <w:r>
                    <w:t xml:space="preserve">13.343832</w:t>
                  </w:r>
                </w:p>
              </w:tc>
              <w:tc>
                <w:tcPr/>
                <w:p>
                  <w:pPr>
                    <w:pStyle w:val="Compact"/>
                    <w:jc w:val="right"/>
                    <w:jc w:val="center"/>
                  </w:pPr>
                  <w:r>
                    <w:t xml:space="preserve">16164833</w:t>
                  </w:r>
                </w:p>
              </w:tc>
            </w:tr>
            <w:tr>
              <w:tc>
                <w:tcPr/>
                <w:p>
                  <w:pPr>
                    <w:pStyle w:val="Compact"/>
                    <w:jc w:val="left"/>
                    <w:jc w:val="center"/>
                  </w:pPr>
                  <w:r>
                    <w:t xml:space="preserve">state</w:t>
                  </w:r>
                </w:p>
              </w:tc>
              <w:tc>
                <w:tcPr/>
                <w:p>
                  <w:pPr>
                    <w:pStyle w:val="Compact"/>
                    <w:jc w:val="right"/>
                    <w:jc w:val="center"/>
                  </w:pPr>
                  <w:r>
                    <w:t xml:space="preserve">26.128471</w:t>
                  </w:r>
                </w:p>
              </w:tc>
              <w:tc>
                <w:tcPr/>
                <w:p>
                  <w:pPr>
                    <w:pStyle w:val="Compact"/>
                    <w:jc w:val="right"/>
                    <w:jc w:val="center"/>
                  </w:pPr>
                  <w:r>
                    <w:t xml:space="preserve">68834795</w:t>
                  </w:r>
                </w:p>
              </w:tc>
            </w:tr>
          </w:tbl>
          <w:bookmarkEnd w:id="39"/>
          <w:p/>
        </w:tc>
      </w:tr>
    </w:tbl>
    <w:tbl>
      <w:tblPr>
        <w:tblStyle w:val="Table"/>
        <w:tblW w:type="pct" w:w="5000"/>
        <w:tblLook w:firstRow="0" w:lastRow="0" w:firstColumn="0" w:lastColumn="0" w:noHBand="0" w:noVBand="0" w:val="0000"/>
        <w:jc w:val="start"/>
        <w:tblLayout w:type="fixed"/>
      </w:tblPr>
      <w:tblGrid>
        <w:gridCol w:w="7920"/>
      </w:tblGrid>
      <w:tr>
        <w:tc>
          <w:tcPr/>
          <w:bookmarkStart w:id="43" w:name="fig-schematic_test2"/>
          <w:p>
            <w:pPr>
              <w:pStyle w:val="Compact"/>
              <w:jc w:val="center"/>
            </w:pPr>
            <w:r>
              <w:drawing>
                <wp:inline>
                  <wp:extent cx="5334000" cy="3807460"/>
                  <wp:effectExtent b="0" l="0" r="0" t="0"/>
                  <wp:docPr descr="" title="" id="41" name="Picture"/>
                  <a:graphic>
                    <a:graphicData uri="http://schemas.openxmlformats.org/drawingml/2006/picture">
                      <pic:pic>
                        <pic:nvPicPr>
                          <pic:cNvPr descr="../../results/analysis/train_test_plot2.png" id="42" name="Picture"/>
                          <pic:cNvPicPr>
                            <a:picLocks noChangeArrowheads="1" noChangeAspect="1"/>
                          </pic:cNvPicPr>
                        </pic:nvPicPr>
                        <pic:blipFill>
                          <a:blip r:embed="rId40"/>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Predicted vs Observed Values by Train/Test Data (Random Forest Model)</w:t>
            </w:r>
          </w:p>
          <w:bookmarkEnd w:id="43"/>
        </w:tc>
      </w:tr>
    </w:tbl>
    <w:bookmarkEnd w:id="44"/>
    <w:bookmarkEnd w:id="45"/>
    <w:bookmarkStart w:id="49" w:name="discussion"/>
    <w:p>
      <w:pPr>
        <w:pStyle w:val="Heading1"/>
      </w:pPr>
      <w:r>
        <w:t xml:space="preserve">5. Discussion</w:t>
      </w:r>
    </w:p>
    <w:bookmarkStart w:id="46" w:name="summary-and-interpretation"/>
    <w:p>
      <w:pPr>
        <w:pStyle w:val="Heading2"/>
      </w:pPr>
      <w:r>
        <w:t xml:space="preserve">5.1 Summary and Interpretation</w:t>
      </w:r>
    </w:p>
    <w:p>
      <w:pPr>
        <w:pStyle w:val="FirstParagraph"/>
      </w:pPr>
      <w:r>
        <w:t xml:space="preserve">In this analysis, a multilevel linear model and a random forest model were fit to the data. With the multilevel linear model, PCP supply was found to be negatively associated with all-cause mortality rate among US counties after adjustment for some covariates. The random forest model results indicated that although PCP supply contributed to the predictions of mortality rate, it was not an important predictor. Both models were fitted to a test data, and made relatively accurate predictions. These findings suggest PCP supply might be related to all-cause mortality rate on the county level, but the potential of using PCP supply to predicted mortality rate is limited.</w:t>
      </w:r>
    </w:p>
    <w:bookmarkEnd w:id="46"/>
    <w:bookmarkStart w:id="47" w:name="strengths-and-limitations"/>
    <w:p>
      <w:pPr>
        <w:pStyle w:val="Heading2"/>
      </w:pPr>
      <w:r>
        <w:t xml:space="preserve">5.2 Strengths and Limitations</w:t>
      </w:r>
    </w:p>
    <w:p>
      <w:pPr>
        <w:pStyle w:val="FirstParagraph"/>
      </w:pPr>
      <w:r>
        <w:t xml:space="preserve">This project has several strengths. Firstly, both multilevel linear model and random forest model were used for analysis, which helped make the findings robust. Secondly, cross-validation was used to assess model performance and a test data set was used for the final evaluation of model predictions, which reduced the risk of model over-fitting. Besides, this analysis included 98% of all counties in the US, the findings are thus representative.</w:t>
      </w:r>
    </w:p>
    <w:p>
      <w:pPr>
        <w:pStyle w:val="BodyText"/>
      </w:pPr>
      <w:r>
        <w:t xml:space="preserve">There are also some limitations. This cross-sectional study only provides a snapshot of data at the same time period, thus causality between the outcome and predictors cannot be established. Furthermore, this study should have included more predictors, so that a variable selection process can be performed.</w:t>
      </w:r>
    </w:p>
    <w:bookmarkEnd w:id="47"/>
    <w:bookmarkStart w:id="48" w:name="conclusions"/>
    <w:p>
      <w:pPr>
        <w:pStyle w:val="Heading2"/>
      </w:pPr>
      <w:r>
        <w:t xml:space="preserve">5.3 Conclusions</w:t>
      </w:r>
    </w:p>
    <w:p>
      <w:pPr>
        <w:pStyle w:val="FirstParagraph"/>
      </w:pPr>
      <w:r>
        <w:t xml:space="preserve">PCP supply is negatively associated with all-cause mortality rate among US counties, but it is not a strong predictor for mortality rate. Future study should explore potential mechanisms through which access to primary care may influence general health on the population level.</w:t>
      </w:r>
    </w:p>
    <w:bookmarkEnd w:id="48"/>
    <w:bookmarkEnd w:id="49"/>
    <w:bookmarkStart w:id="61" w:name="references"/>
    <w:p>
      <w:pPr>
        <w:pStyle w:val="Heading1"/>
      </w:pPr>
      <w:r>
        <w:t xml:space="preserve">6. References</w:t>
      </w:r>
    </w:p>
    <w:bookmarkStart w:id="60" w:name="refs"/>
    <w:bookmarkStart w:id="51" w:name="ref-aizer_access_2005"/>
    <w:p>
      <w:pPr>
        <w:pStyle w:val="Bibliography"/>
      </w:pPr>
      <w:r>
        <w:t xml:space="preserve">Aizer, A., Lleras-Muney, A., &amp; Stabile, M. (2005). Access to</w:t>
      </w:r>
      <w:r>
        <w:t xml:space="preserve"> </w:t>
      </w:r>
      <w:r>
        <w:t xml:space="preserve">Care</w:t>
      </w:r>
      <w:r>
        <w:t xml:space="preserve">,</w:t>
      </w:r>
      <w:r>
        <w:t xml:space="preserve"> </w:t>
      </w:r>
      <w:r>
        <w:t xml:space="preserve">Provider</w:t>
      </w:r>
      <w:r>
        <w:t xml:space="preserve"> </w:t>
      </w:r>
      <w:r>
        <w:t xml:space="preserve">Choice</w:t>
      </w:r>
      <w:r>
        <w:t xml:space="preserve">, and the</w:t>
      </w:r>
      <w:r>
        <w:t xml:space="preserve"> </w:t>
      </w:r>
      <w:r>
        <w:t xml:space="preserve">Infant</w:t>
      </w:r>
      <w:r>
        <w:t xml:space="preserve"> </w:t>
      </w:r>
      <w:r>
        <w:t xml:space="preserve">Health</w:t>
      </w:r>
      <w:r>
        <w:t xml:space="preserve"> </w:t>
      </w:r>
      <w:r>
        <w:t xml:space="preserve">Gradient</w:t>
      </w:r>
      <w:r>
        <w:t xml:space="preserve">.</w:t>
      </w:r>
      <w:r>
        <w:t xml:space="preserve"> </w:t>
      </w:r>
      <w:r>
        <w:rPr>
          <w:iCs/>
          <w:i/>
        </w:rPr>
        <w:t xml:space="preserve">The American Economic Review</w:t>
      </w:r>
      <w:r>
        <w:t xml:space="preserve">,</w:t>
      </w:r>
      <w:r>
        <w:t xml:space="preserve"> </w:t>
      </w:r>
      <w:r>
        <w:rPr>
          <w:iCs/>
          <w:i/>
        </w:rPr>
        <w:t xml:space="preserve">95</w:t>
      </w:r>
      <w:r>
        <w:t xml:space="preserve">(2), 248–252.</w:t>
      </w:r>
      <w:r>
        <w:t xml:space="preserve"> </w:t>
      </w:r>
      <w:hyperlink r:id="rId50">
        <w:r>
          <w:rPr>
            <w:rStyle w:val="Hyperlink"/>
          </w:rPr>
          <w:t xml:space="preserve">https://doi.org/10.1257/000282805774670248</w:t>
        </w:r>
      </w:hyperlink>
    </w:p>
    <w:bookmarkEnd w:id="51"/>
    <w:bookmarkStart w:id="53" w:name="ref-desalvo_mortality_2006"/>
    <w:p>
      <w:pPr>
        <w:pStyle w:val="Bibliography"/>
      </w:pPr>
      <w:r>
        <w:t xml:space="preserve">DeSalvo, K. B., Bloser, N., Reynolds, K., He, J., &amp; Muntner, P. (2006). Mortality prediction with a single general self-rated health question.</w:t>
      </w:r>
      <w:r>
        <w:t xml:space="preserve"> </w:t>
      </w:r>
      <w:r>
        <w:t xml:space="preserve">A</w:t>
      </w:r>
      <w:r>
        <w:t xml:space="preserve"> </w:t>
      </w:r>
      <w:r>
        <w:t xml:space="preserve">meta-analysis.</w:t>
      </w:r>
      <w:r>
        <w:t xml:space="preserve"> </w:t>
      </w:r>
      <w:r>
        <w:rPr>
          <w:iCs/>
          <w:i/>
        </w:rPr>
        <w:t xml:space="preserve">Journal of General Internal Medicine</w:t>
      </w:r>
      <w:r>
        <w:t xml:space="preserve">,</w:t>
      </w:r>
      <w:r>
        <w:t xml:space="preserve"> </w:t>
      </w:r>
      <w:r>
        <w:rPr>
          <w:iCs/>
          <w:i/>
        </w:rPr>
        <w:t xml:space="preserve">21</w:t>
      </w:r>
      <w:r>
        <w:t xml:space="preserve">(3), 267–275.</w:t>
      </w:r>
      <w:r>
        <w:t xml:space="preserve"> </w:t>
      </w:r>
      <w:hyperlink r:id="rId52">
        <w:r>
          <w:rPr>
            <w:rStyle w:val="Hyperlink"/>
          </w:rPr>
          <w:t xml:space="preserve">https://doi.org/10.1111/j.1525-1497.2005.00291.x</w:t>
        </w:r>
      </w:hyperlink>
    </w:p>
    <w:bookmarkEnd w:id="53"/>
    <w:bookmarkStart w:id="55" w:name="ref-peart_patient_2018"/>
    <w:p>
      <w:pPr>
        <w:pStyle w:val="Bibliography"/>
      </w:pPr>
      <w:r>
        <w:t xml:space="preserve">Peart, A., Lewis, V., Brown, T., &amp; Russell, G. (2018). Patient navigators facilitating access to primary care: A scoping review.</w:t>
      </w:r>
      <w:r>
        <w:t xml:space="preserve"> </w:t>
      </w:r>
      <w:r>
        <w:rPr>
          <w:iCs/>
          <w:i/>
        </w:rPr>
        <w:t xml:space="preserve">BMJ Open</w:t>
      </w:r>
      <w:r>
        <w:t xml:space="preserve">,</w:t>
      </w:r>
      <w:r>
        <w:t xml:space="preserve"> </w:t>
      </w:r>
      <w:r>
        <w:rPr>
          <w:iCs/>
          <w:i/>
        </w:rPr>
        <w:t xml:space="preserve">8</w:t>
      </w:r>
      <w:r>
        <w:t xml:space="preserve">(3), e019252.</w:t>
      </w:r>
      <w:r>
        <w:t xml:space="preserve"> </w:t>
      </w:r>
      <w:hyperlink r:id="rId54">
        <w:r>
          <w:rPr>
            <w:rStyle w:val="Hyperlink"/>
          </w:rPr>
          <w:t xml:space="preserve">https://doi.org/10.1136/bmjopen-2017-019252</w:t>
        </w:r>
      </w:hyperlink>
    </w:p>
    <w:bookmarkEnd w:id="55"/>
    <w:bookmarkStart w:id="57" w:name="ref-starfield_contribution_2005"/>
    <w:p>
      <w:pPr>
        <w:pStyle w:val="Bibliography"/>
      </w:pPr>
      <w:r>
        <w:t xml:space="preserve">Starfield, B., Shi, L., &amp; Macinko, J. (2005). Contribution of primary care to health systems and health.</w:t>
      </w:r>
      <w:r>
        <w:t xml:space="preserve"> </w:t>
      </w:r>
      <w:r>
        <w:rPr>
          <w:iCs/>
          <w:i/>
        </w:rPr>
        <w:t xml:space="preserve">The Milbank Quarterly</w:t>
      </w:r>
      <w:r>
        <w:t xml:space="preserve">,</w:t>
      </w:r>
      <w:r>
        <w:t xml:space="preserve"> </w:t>
      </w:r>
      <w:r>
        <w:rPr>
          <w:iCs/>
          <w:i/>
        </w:rPr>
        <w:t xml:space="preserve">83</w:t>
      </w:r>
      <w:r>
        <w:t xml:space="preserve">(3), 457–502.</w:t>
      </w:r>
      <w:r>
        <w:t xml:space="preserve"> </w:t>
      </w:r>
      <w:hyperlink r:id="rId56">
        <w:r>
          <w:rPr>
            <w:rStyle w:val="Hyperlink"/>
          </w:rPr>
          <w:t xml:space="preserve">https://doi.org/10.1111/j.1468-0009.2005.00409.x</w:t>
        </w:r>
      </w:hyperlink>
    </w:p>
    <w:bookmarkEnd w:id="57"/>
    <w:bookmarkStart w:id="59" w:name="ref-woolf_new_2023"/>
    <w:p>
      <w:pPr>
        <w:pStyle w:val="Bibliography"/>
      </w:pPr>
      <w:r>
        <w:t xml:space="preserve">Woolf, S. H., Wolf, E. R., &amp; Rivara, F. P. (2023). The</w:t>
      </w:r>
      <w:r>
        <w:t xml:space="preserve"> </w:t>
      </w:r>
      <w:r>
        <w:t xml:space="preserve">New</w:t>
      </w:r>
      <w:r>
        <w:t xml:space="preserve"> </w:t>
      </w:r>
      <w:r>
        <w:t xml:space="preserve">Crisis</w:t>
      </w:r>
      <w:r>
        <w:t xml:space="preserve"> </w:t>
      </w:r>
      <w:r>
        <w:t xml:space="preserve">of</w:t>
      </w:r>
      <w:r>
        <w:t xml:space="preserve"> </w:t>
      </w:r>
      <w:r>
        <w:t xml:space="preserve">Increasing</w:t>
      </w:r>
      <w:r>
        <w:t xml:space="preserve"> </w:t>
      </w:r>
      <w:r>
        <w:t xml:space="preserve">All</w:t>
      </w:r>
      <w:r>
        <w:t xml:space="preserve">-</w:t>
      </w:r>
      <w:r>
        <w:t xml:space="preserve">Cause</w:t>
      </w:r>
      <w:r>
        <w:t xml:space="preserve"> </w:t>
      </w:r>
      <w:r>
        <w:t xml:space="preserve">Mortality</w:t>
      </w:r>
      <w:r>
        <w:t xml:space="preserve"> </w:t>
      </w:r>
      <w:r>
        <w:t xml:space="preserve">in</w:t>
      </w:r>
      <w:r>
        <w:t xml:space="preserve"> </w:t>
      </w:r>
      <w:r>
        <w:t xml:space="preserve">US</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JAMA</w:t>
      </w:r>
      <w:r>
        <w:t xml:space="preserve">,</w:t>
      </w:r>
      <w:r>
        <w:t xml:space="preserve"> </w:t>
      </w:r>
      <w:r>
        <w:rPr>
          <w:iCs/>
          <w:i/>
        </w:rPr>
        <w:t xml:space="preserve">329</w:t>
      </w:r>
      <w:r>
        <w:t xml:space="preserve">(12), 975.</w:t>
      </w:r>
      <w:r>
        <w:t xml:space="preserve"> </w:t>
      </w:r>
      <w:hyperlink r:id="rId58">
        <w:r>
          <w:rPr>
            <w:rStyle w:val="Hyperlink"/>
          </w:rPr>
          <w:t xml:space="preserve">https://doi.org/10.1001/jama.2023.3517</w:t>
        </w:r>
      </w:hyperlink>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58" Target="https://doi.org/10.1001/jama.2023.3517" TargetMode="External" /><Relationship Type="http://schemas.openxmlformats.org/officeDocument/2006/relationships/hyperlink" Id="rId56" Target="https://doi.org/10.1111/j.1468-0009.2005.00409.x" TargetMode="External" /><Relationship Type="http://schemas.openxmlformats.org/officeDocument/2006/relationships/hyperlink" Id="rId52" Target="https://doi.org/10.1111/j.1525-1497.2005.00291.x" TargetMode="External" /><Relationship Type="http://schemas.openxmlformats.org/officeDocument/2006/relationships/hyperlink" Id="rId54" Target="https://doi.org/10.1136/bmjopen-2017-019252" TargetMode="External" /><Relationship Type="http://schemas.openxmlformats.org/officeDocument/2006/relationships/hyperlink" Id="rId50" Target="https://doi.org/10.1257/000282805774670248"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01/jama.2023.3517" TargetMode="External" /><Relationship Type="http://schemas.openxmlformats.org/officeDocument/2006/relationships/hyperlink" Id="rId56" Target="https://doi.org/10.1111/j.1468-0009.2005.00409.x" TargetMode="External" /><Relationship Type="http://schemas.openxmlformats.org/officeDocument/2006/relationships/hyperlink" Id="rId52" Target="https://doi.org/10.1111/j.1525-1497.2005.00291.x" TargetMode="External" /><Relationship Type="http://schemas.openxmlformats.org/officeDocument/2006/relationships/hyperlink" Id="rId54" Target="https://doi.org/10.1136/bmjopen-2017-019252" TargetMode="External" /><Relationship Type="http://schemas.openxmlformats.org/officeDocument/2006/relationships/hyperlink" Id="rId50" Target="https://doi.org/10.1257/0002828057746702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All-cause Mortality Rates and Primary Care Physician Supply in US Counties 2021</dc:title>
  <dc:creator>Chaohua Li</dc:creator>
  <cp:keywords/>
  <dcterms:created xsi:type="dcterms:W3CDTF">2024-04-16T21:04:39Z</dcterms:created>
  <dcterms:modified xsi:type="dcterms:W3CDTF">2024-04-16T21:04:39Z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../../assets/mada.bib</vt:lpwstr>
  </property>
  <property fmtid="{D5CDD505-2E9C-101B-9397-08002B2CF9AE}" pid="5" name="by-author">
    <vt:lpwstr/>
  </property>
  <property fmtid="{D5CDD505-2E9C-101B-9397-08002B2CF9AE}" pid="6" name="csl">
    <vt:lpwstr>../../assets/apa.csl</vt:lpwstr>
  </property>
  <property fmtid="{D5CDD505-2E9C-101B-9397-08002B2CF9AE}" pid="7" name="date">
    <vt:lpwstr>2024-04-16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