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Relationship</w:t>
      </w:r>
      <w:r>
        <w:t xml:space="preserve"> </w:t>
      </w:r>
      <w:r>
        <w:t xml:space="preserve">Between</w:t>
      </w:r>
      <w:r>
        <w:t xml:space="preserve"> </w:t>
      </w:r>
      <w:r>
        <w:t xml:space="preserve">β-carotene</w:t>
      </w:r>
      <w:r>
        <w:t xml:space="preserve"> </w:t>
      </w:r>
      <w:r>
        <w:t xml:space="preserve">Levels,</w:t>
      </w:r>
      <w:r>
        <w:t xml:space="preserve"> </w:t>
      </w:r>
      <w:r>
        <w:t xml:space="preserve">BCO1</w:t>
      </w:r>
      <w:r>
        <w:t xml:space="preserve"> </w:t>
      </w:r>
      <w:r>
        <w:t xml:space="preserve">Variants,</w:t>
      </w:r>
      <w:r>
        <w:t xml:space="preserve"> </w:t>
      </w:r>
      <w:r>
        <w:t xml:space="preserve">and</w:t>
      </w:r>
      <w:r>
        <w:t xml:space="preserve"> </w:t>
      </w:r>
      <w:r>
        <w:t xml:space="preserve">Atherosclerosis</w:t>
      </w:r>
      <w:r>
        <w:t xml:space="preserve"> </w:t>
      </w:r>
      <w:r>
        <w:t xml:space="preserve">Progression</w:t>
      </w:r>
      <w:r>
        <w:t xml:space="preserve"> </w:t>
      </w:r>
      <w:r>
        <w:t xml:space="preserve">through</w:t>
      </w:r>
      <w:r>
        <w:t xml:space="preserve"> </w:t>
      </w:r>
      <w:r>
        <w:t xml:space="preserve">Data</w:t>
      </w:r>
      <w:r>
        <w:t xml:space="preserve"> </w:t>
      </w:r>
      <w:r>
        <w:t xml:space="preserve">Analysis</w:t>
      </w:r>
    </w:p>
    <w:p>
      <w:pPr>
        <w:pStyle w:val="Subtitle"/>
      </w:pPr>
      <w:r>
        <w:t xml:space="preserve">Insights</w:t>
      </w:r>
      <w:r>
        <w:t xml:space="preserve"> </w:t>
      </w:r>
      <w:r>
        <w:t xml:space="preserve">into</w:t>
      </w:r>
      <w:r>
        <w:t xml:space="preserve"> </w:t>
      </w:r>
      <w:r>
        <w:t xml:space="preserve">Plasma</w:t>
      </w:r>
      <w:r>
        <w:t xml:space="preserve"> </w:t>
      </w:r>
      <w:r>
        <w:t xml:space="preserve">Lipid</w:t>
      </w:r>
      <w:r>
        <w:t xml:space="preserve"> </w:t>
      </w:r>
      <w:r>
        <w:t xml:space="preserve">Profiles</w:t>
      </w:r>
      <w:r>
        <w:t xml:space="preserve"> </w:t>
      </w:r>
      <w:r>
        <w:t xml:space="preserve">and</w:t>
      </w:r>
      <w:r>
        <w:t xml:space="preserve"> </w:t>
      </w:r>
      <w:r>
        <w:t xml:space="preserve">Immune</w:t>
      </w:r>
      <w:r>
        <w:t xml:space="preserve"> </w:t>
      </w:r>
      <w:r>
        <w:t xml:space="preserve">Cell</w:t>
      </w:r>
      <w:r>
        <w:t xml:space="preserve"> </w:t>
      </w:r>
      <w:r>
        <w:t xml:space="preserve">Dynamics</w:t>
      </w:r>
      <w:r>
        <w:t xml:space="preserve"> </w:t>
      </w:r>
      <w:r>
        <w:t xml:space="preserve">for</w:t>
      </w:r>
      <w:r>
        <w:t xml:space="preserve"> </w:t>
      </w:r>
      <w:r>
        <w:t xml:space="preserve">Cardiovascular</w:t>
      </w:r>
      <w:r>
        <w:t xml:space="preserve"> </w:t>
      </w:r>
      <w:r>
        <w:t xml:space="preserve">Health</w:t>
      </w:r>
    </w:p>
    <w:p>
      <w:pPr>
        <w:pStyle w:val="Author"/>
      </w:pPr>
      <w:r>
        <w:t xml:space="preserve">Mutsa</w:t>
      </w:r>
      <w:r>
        <w:t xml:space="preserve"> </w:t>
      </w:r>
      <w:r>
        <w:t xml:space="preserve">Nyamuranga</w:t>
      </w:r>
    </w:p>
    <w:p>
      <w:pPr>
        <w:pStyle w:val="Date"/>
      </w:pPr>
      <w:r>
        <w:t xml:space="preserve">2024-04-04</w:t>
      </w:r>
    </w:p>
    <w:bookmarkStart w:id="20" w:name="summaryabstract"/>
    <w:p>
      <w:pPr>
        <w:pStyle w:val="Heading1"/>
      </w:pPr>
      <w:r>
        <w:t xml:space="preserve">1. Summary/Abstract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Atherosclerosis, a chronic inflammatory disease of the arterial wall, remains a leading cause of cardiovascular morbidity and mortality worldwide. Despite significant advancements in understanding its pathophysiology, effective therapeutic interventions are still in demand. Recent research has shed light on the potential role of dietary β-carotene and its conversion to vitamin A in modulating atherosclerosis progression and resolution.</w:t>
      </w:r>
    </w:p>
    <w:p>
      <w:pPr>
        <w:pStyle w:val="BodyText"/>
      </w:pPr>
      <w:r>
        <w:t xml:space="preserve">Several studies have demonstrated the beneficial effects of β-carotene in delaying atherosclerosis progression in experimental models, along with its association with reduced cardiovascular risk in humans. Moreover, genetic variants in the BCO1 gene, responsible for converting β-carotene to vitamin A, have been linked to alterations in circulating carotenoid levels and plasma lipid profiles in individuals. However, the precise mechanisms underlying these effects, particularly regarding the interplay between β-carotene, BCO1 activity, and atherosclerosis progression or resolution, remain unclear.</w:t>
      </w:r>
    </w:p>
    <w:bookmarkEnd w:id="21"/>
    <w:bookmarkStart w:id="22" w:name="description-of-data-and-data-source"/>
    <w:p>
      <w:pPr>
        <w:pStyle w:val="Heading2"/>
      </w:pPr>
      <w:r>
        <w:t xml:space="preserve">2.2 Description of data and data source</w:t>
      </w:r>
    </w:p>
    <w:p>
      <w:pPr>
        <w:pStyle w:val="FirstParagraph"/>
      </w:pPr>
      <w:r>
        <w:t xml:space="preserve">The data I will be using is based on:</w:t>
      </w:r>
    </w:p>
    <w:p>
      <w:pPr>
        <w:pStyle w:val="BodyText"/>
      </w:pPr>
      <w:r>
        <w:t xml:space="preserve">Pinos, I., et al. (2024).</w:t>
      </w:r>
      <w:r>
        <w:t xml:space="preserve"> </w:t>
      </w:r>
      <w:r>
        <w:t xml:space="preserve">“</w:t>
      </w:r>
      <w:r>
        <w:t xml:space="preserve">β-Carotene accelerates the resolution of atherosclerosis in mice.</w:t>
      </w:r>
      <w:r>
        <w:t xml:space="preserve">”</w:t>
      </w:r>
      <w:r>
        <w:t xml:space="preserve"> </w:t>
      </w:r>
      <w:r>
        <w:t xml:space="preserve">eLife 12: RP87430.</w:t>
      </w:r>
    </w:p>
    <w:p>
      <w:pPr>
        <w:pStyle w:val="BodyText"/>
      </w:pPr>
      <w:r>
        <w:t xml:space="preserve">The data consists of measurements of circulating β-carotene and retinoic acid levels, along with relevant biomarkers and clinical characteristics, collected from a cohort of individuals with varying degrees of atherosclerosis progression and resolution. Genetic information on BCO1 activity, including genetic variants associated with BCO1 activity, may also be included in the dataset. The data was collected through blood sample analysis and genetic testing.</w:t>
      </w:r>
    </w:p>
    <w:p>
      <w:pPr>
        <w:pStyle w:val="SourceCode"/>
      </w:pPr>
      <w:r>
        <w:rPr>
          <w:rStyle w:val="CommentTok"/>
        </w:rPr>
        <w:t xml:space="preserve"># Load necessary packages</w:t>
      </w:r>
      <w:r>
        <w:br/>
      </w:r>
      <w:r>
        <w:rPr>
          <w:rStyle w:val="FunctionTok"/>
        </w:rPr>
        <w:t xml:space="preserve">library</w:t>
      </w:r>
      <w:r>
        <w:rPr>
          <w:rStyle w:val="NormalTok"/>
        </w:rPr>
        <w:t xml:space="preserve">(renv)</w:t>
      </w:r>
    </w:p>
    <w:p>
      <w:pPr>
        <w:pStyle w:val="SourceCode"/>
      </w:pPr>
      <w:r>
        <w:br/>
      </w:r>
      <w:r>
        <w:rPr>
          <w:rStyle w:val="VerbatimChar"/>
        </w:rPr>
        <w:t xml:space="preserve">Attaching package: 'renv'</w:t>
      </w:r>
    </w:p>
    <w:p>
      <w:pPr>
        <w:pStyle w:val="SourceCode"/>
      </w:pPr>
      <w:r>
        <w:rPr>
          <w:rStyle w:val="VerbatimChar"/>
        </w:rPr>
        <w:t xml:space="preserve">The following objects are masked from 'package:stats':</w:t>
      </w:r>
      <w:r>
        <w:br/>
      </w:r>
      <w:r>
        <w:br/>
      </w:r>
      <w:r>
        <w:rPr>
          <w:rStyle w:val="VerbatimChar"/>
        </w:rPr>
        <w:t xml:space="preserve">    embed, update</w:t>
      </w:r>
    </w:p>
    <w:p>
      <w:pPr>
        <w:pStyle w:val="SourceCode"/>
      </w:pPr>
      <w:r>
        <w:rPr>
          <w:rStyle w:val="VerbatimChar"/>
        </w:rPr>
        <w:t xml:space="preserve">The following objects are masked from 'package:utils':</w:t>
      </w:r>
      <w:r>
        <w:br/>
      </w:r>
      <w:r>
        <w:br/>
      </w:r>
      <w:r>
        <w:rPr>
          <w:rStyle w:val="VerbatimChar"/>
        </w:rPr>
        <w:t xml:space="preserve">    history, upgrade</w:t>
      </w:r>
    </w:p>
    <w:p>
      <w:pPr>
        <w:pStyle w:val="SourceCode"/>
      </w:pPr>
      <w:r>
        <w:rPr>
          <w:rStyle w:val="VerbatimChar"/>
        </w:rPr>
        <w:t xml:space="preserve">The following objects are masked from 'package:base':</w:t>
      </w:r>
      <w:r>
        <w:br/>
      </w:r>
      <w:r>
        <w:br/>
      </w:r>
      <w:r>
        <w:rPr>
          <w:rStyle w:val="VerbatimChar"/>
        </w:rPr>
        <w:t xml:space="preserve">    autoload, load, remove</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processing/cleaning</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 </w:t>
      </w:r>
      <w:r>
        <w:rPr>
          <w:rStyle w:val="CommentTok"/>
        </w:rPr>
        <w:t xml:space="preserve">#for data processing/cleaning</w:t>
      </w:r>
      <w:r>
        <w:br/>
      </w:r>
      <w:r>
        <w:rPr>
          <w:rStyle w:val="FunctionTok"/>
        </w:rPr>
        <w:t xml:space="preserve">library</w:t>
      </w:r>
      <w:r>
        <w:rPr>
          <w:rStyle w:val="NormalTok"/>
        </w:rPr>
        <w:t xml:space="preserve">(skimr) </w:t>
      </w:r>
      <w:r>
        <w:rPr>
          <w:rStyle w:val="CommentTok"/>
        </w:rPr>
        <w:t xml:space="preserve">#for nice visualization of data </w:t>
      </w:r>
      <w:r>
        <w:br/>
      </w:r>
      <w:r>
        <w:rPr>
          <w:rStyle w:val="FunctionTok"/>
        </w:rPr>
        <w:t xml:space="preserve">library</w:t>
      </w:r>
      <w:r>
        <w:rPr>
          <w:rStyle w:val="NormalTok"/>
        </w:rPr>
        <w:t xml:space="preserve">(here) </w:t>
      </w:r>
      <w:r>
        <w:rPr>
          <w:rStyle w:val="CommentTok"/>
        </w:rPr>
        <w:t xml:space="preserve">#to set paths</w:t>
      </w:r>
      <w:r>
        <w:br/>
      </w:r>
      <w:r>
        <w:br/>
      </w:r>
      <w:r>
        <w:rPr>
          <w:rStyle w:val="CommentTok"/>
        </w:rPr>
        <w:t xml:space="preserve"># Load necessary package</w:t>
      </w:r>
      <w:r>
        <w:br/>
      </w:r>
      <w:r>
        <w:rPr>
          <w:rStyle w:val="FunctionTok"/>
        </w:rPr>
        <w:t xml:space="preserve">library</w:t>
      </w:r>
      <w:r>
        <w:rPr>
          <w:rStyle w:val="NormalTok"/>
        </w:rPr>
        <w:t xml:space="preserve">(readxl)</w:t>
      </w:r>
      <w:r>
        <w:br/>
      </w:r>
      <w:r>
        <w:br/>
      </w:r>
      <w:r>
        <w:rPr>
          <w:rStyle w:val="CommentTok"/>
        </w:rPr>
        <w:t xml:space="preserve"># Read Excel file</w:t>
      </w:r>
      <w:r>
        <w:br/>
      </w:r>
      <w:r>
        <w:rPr>
          <w:rStyle w:val="NormalTok"/>
        </w:rPr>
        <w:t xml:space="preserve">rawdata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"~/Desktop/MADA-course/Nyamuranga-MADA-project/data/raw-data/elife-87430-data1-v1.xlsx"</w:t>
      </w:r>
      <w:r>
        <w:rPr>
          <w:rStyle w:val="NormalTok"/>
        </w:rPr>
        <w:t xml:space="preserve">)</w:t>
      </w:r>
    </w:p>
    <w:p>
      <w:pPr>
        <w:pStyle w:val="SourceCode"/>
      </w:pPr>
      <w:r>
        <w:rPr>
          <w:rStyle w:val="VerbatimChar"/>
        </w:rPr>
        <w:t xml:space="preserve">New names:</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p>
    <w:bookmarkEnd w:id="22"/>
    <w:bookmarkStart w:id="23" w:name="questionshypotheses-to-be-addressed"/>
    <w:p>
      <w:pPr>
        <w:pStyle w:val="Heading2"/>
      </w:pPr>
      <w:r>
        <w:t xml:space="preserve">2.3 Questions/Hypotheses to be addressed</w:t>
      </w:r>
    </w:p>
    <w:p>
      <w:pPr>
        <w:pStyle w:val="FirstParagraph"/>
      </w:pPr>
      <w:r>
        <w:t xml:space="preserve">The question I want to answer using the data is whether there is a correlation between circulating β-carotene levels, BCO1 genetic variants, and the progression or resolution of atherosclerosis. Specifically, I am interested in examining how these factors relate to plasma lipid profiles (e.g., cholesterol, triglycerides). The main outcome of interest will be the degree of atherosclerosis progression or resolution, potentially measured by imaging techniques or clinical assessments of plaque burden. Additionally, plasma lipid profiles and immune cell populations, particularly Treg levels, would be of interest as secondary outcomes. The specific predictors of interest would include circulating β-carotene levels, genetic variants associated with BCO1 activity, plasma lipid profiles, and immune cell populations. The data analysis will likely involve statistical methods such as correlation analysis to assess the relationships between predictors and outcomes. Regression modeling could be used to examine the predictive value of circulating β-carotene levels and BCO1 genetic variants on atherosclerosis progression or resolution, controlling for potential confounding variables. Further exploration may involve visualization techniques to identify patterns and trends in the data.</w:t>
      </w:r>
    </w:p>
    <w:p>
      <w:r>
        <w:br w:type="page"/>
      </w:r>
    </w:p>
    <w:bookmarkEnd w:id="23"/>
    <w:bookmarkEnd w:id="24"/>
    <w:bookmarkStart w:id="34" w:name="methods"/>
    <w:p>
      <w:pPr>
        <w:pStyle w:val="Heading1"/>
      </w:pPr>
      <w:r>
        <w:t xml:space="preserve">3. Methods</w:t>
      </w:r>
    </w:p>
    <w:bookmarkStart w:id="25" w:name="data-aquisition"/>
    <w:p>
      <w:pPr>
        <w:pStyle w:val="Heading2"/>
      </w:pPr>
      <w:r>
        <w:t xml:space="preserve">3.1 Data aquisition</w:t>
      </w:r>
    </w:p>
    <w:p>
      <w:pPr>
        <w:pStyle w:val="FirstParagraph"/>
      </w:pPr>
      <w:r>
        <w:t xml:space="preserve">The data was acquired online from Pinos et. al. in the additional files section. The data was formated in tables within an excel file which had to be processed and cleaned to identify target data. The excel file was loaded in through readxl and downloaded into a processing quarto file.</w:t>
      </w:r>
    </w:p>
    <w:bookmarkEnd w:id="25"/>
    <w:bookmarkStart w:id="26" w:name="data-import-and-cleaning"/>
    <w:p>
      <w:pPr>
        <w:pStyle w:val="Heading2"/>
      </w:pPr>
      <w:r>
        <w:t xml:space="preserve">3.2 Data import and cleaning</w:t>
      </w:r>
    </w:p>
    <w:p>
      <w:pPr>
        <w:pStyle w:val="FirstParagraph"/>
      </w:pPr>
      <w:r>
        <w:t xml:space="preserve">The provided R code is structured to process and clean raw data extracted from an Excel file. Initially, the data is loaded into R using the read_excel function, and a specific range of cells is extracted from the Excel sheet</w:t>
      </w:r>
      <w:r>
        <w:t xml:space="preserve"> </w:t>
      </w:r>
      <w:r>
        <w:t xml:space="preserve">“</w:t>
      </w:r>
      <w:r>
        <w:t xml:space="preserve">Figure 1-suppl figure 1</w:t>
      </w:r>
      <w:r>
        <w:t xml:space="preserve">”</w:t>
      </w:r>
      <w:r>
        <w:t xml:space="preserve">. The subsequent cleaning steps involve removing columns containing standard deviation data and ensuring clarity and consistency by labeling conditions with</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appropriately. Following this, basic exploration functions such as print, str, summary, and glimpse are utilized to examine the cleaned data frame’s structure and content. Finally, the cleaned data is saved as an RDS file for future analysis.</w:t>
      </w:r>
    </w:p>
    <w:bookmarkEnd w:id="26"/>
    <w:bookmarkStart w:id="33" w:name="statistical-analysis"/>
    <w:p>
      <w:pPr>
        <w:pStyle w:val="Heading2"/>
      </w:pPr>
      <w:r>
        <w:t xml:space="preserve">3.3 Statistical analysis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28" name="Picture"/>
                  <a:graphic>
                    <a:graphicData uri="http://schemas.openxmlformats.org/drawingml/2006/picture">
                      <pic:pic>
                        <pic:nvPicPr>
                          <pic:cNvPr descr="Manuscript_files/figure-docx/load_image_1-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Distrobution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31" name="Picture"/>
                  <a:graphic>
                    <a:graphicData uri="http://schemas.openxmlformats.org/drawingml/2006/picture">
                      <pic:pic>
                        <pic:nvPicPr>
                          <pic:cNvPr descr="Manuscript_files/figure-docx/load_image_2-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Distrobution</w:t>
            </w:r>
          </w:p>
        </w:tc>
      </w:tr>
    </w:tbl>
    <w:p>
      <w:r>
        <w:br w:type="page"/>
      </w:r>
    </w:p>
    <w:bookmarkEnd w:id="33"/>
    <w:bookmarkEnd w:id="34"/>
    <w:bookmarkStart w:id="39"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bookmarkStart w:id="35"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345"/>
        <w:gridCol w:w="484"/>
        <w:gridCol w:w="345"/>
        <w:gridCol w:w="484"/>
        <w:gridCol w:w="484"/>
        <w:gridCol w:w="484"/>
        <w:gridCol w:w="553"/>
        <w:gridCol w:w="657"/>
        <w:gridCol w:w="726"/>
        <w:gridCol w:w="449"/>
        <w:gridCol w:w="380"/>
        <w:gridCol w:w="380"/>
        <w:gridCol w:w="415"/>
        <w:gridCol w:w="415"/>
        <w:gridCol w:w="415"/>
        <w:gridCol w:w="449"/>
        <w:gridCol w:w="449"/>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character.min</w:t>
            </w:r>
          </w:p>
        </w:tc>
        <w:tc>
          <w:tcPr/>
          <w:p>
            <w:pPr>
              <w:pStyle w:val="Compact"/>
              <w:jc w:val="right"/>
            </w:pPr>
            <w:r>
              <w:t xml:space="preserve">character.max</w:t>
            </w:r>
          </w:p>
        </w:tc>
        <w:tc>
          <w:tcPr/>
          <w:p>
            <w:pPr>
              <w:pStyle w:val="Compact"/>
              <w:jc w:val="right"/>
            </w:pPr>
            <w:r>
              <w:t xml:space="preserve">character.empty</w:t>
            </w:r>
          </w:p>
        </w:tc>
        <w:tc>
          <w:tcPr/>
          <w:p>
            <w:pPr>
              <w:pStyle w:val="Compact"/>
              <w:jc w:val="right"/>
            </w:pPr>
            <w:r>
              <w:t xml:space="preserve">character.n_unique</w:t>
            </w:r>
          </w:p>
        </w:tc>
        <w:tc>
          <w:tcPr/>
          <w:p>
            <w:pPr>
              <w:pStyle w:val="Compact"/>
              <w:jc w:val="right"/>
            </w:pPr>
            <w:r>
              <w:t xml:space="preserve">character.whitespace</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character</w:t>
            </w:r>
          </w:p>
        </w:tc>
        <w:tc>
          <w:tcPr/>
          <w:p>
            <w:pPr>
              <w:pStyle w:val="Compact"/>
              <w:jc w:val="left"/>
            </w:pPr>
            <w:r>
              <w:t xml:space="preserve">BaselineF</w:t>
            </w:r>
          </w:p>
        </w:tc>
        <w:tc>
          <w:tcPr/>
          <w:p>
            <w:pPr>
              <w:pStyle w:val="Compact"/>
              <w:jc w:val="right"/>
            </w:pPr>
            <w:r>
              <w:t xml:space="preserve">3</w:t>
            </w:r>
          </w:p>
        </w:tc>
        <w:tc>
          <w:tcPr/>
          <w:p>
            <w:pPr>
              <w:pStyle w:val="Compact"/>
              <w:jc w:val="right"/>
            </w:pPr>
            <w:r>
              <w:t xml:space="preserve">0.8421053</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ControlF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BetaCaroteneF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BaselineM</w:t>
            </w:r>
          </w:p>
        </w:tc>
        <w:tc>
          <w:tcPr/>
          <w:p>
            <w:pPr>
              <w:pStyle w:val="Compact"/>
              <w:jc w:val="right"/>
            </w:pPr>
            <w:r>
              <w:t xml:space="preserve">3</w:t>
            </w:r>
          </w:p>
        </w:tc>
        <w:tc>
          <w:tcPr/>
          <w:p>
            <w:pPr>
              <w:pStyle w:val="Compact"/>
              <w:jc w:val="right"/>
            </w:pPr>
            <w:r>
              <w:t xml:space="preserve">0.8421053</w:t>
            </w:r>
          </w:p>
        </w:tc>
        <w:tc>
          <w:tcPr/>
          <w:p>
            <w:pPr>
              <w:pStyle w:val="Compact"/>
              <w:jc w:val="right"/>
            </w:pPr>
            <w:r>
              <w:t xml:space="preserve">4</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ControlM</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BetaCaroM</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Week</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5.627314</w:t>
            </w:r>
          </w:p>
        </w:tc>
        <w:tc>
          <w:tcPr/>
          <w:p>
            <w:pPr>
              <w:pStyle w:val="Compact"/>
              <w:jc w:val="right"/>
            </w:pPr>
            <w:r>
              <w:t xml:space="preserve">1</w:t>
            </w:r>
          </w:p>
        </w:tc>
        <w:tc>
          <w:tcPr/>
          <w:p>
            <w:pPr>
              <w:pStyle w:val="Compact"/>
              <w:jc w:val="right"/>
            </w:pPr>
            <w:r>
              <w:t xml:space="preserve">5.5</w:t>
            </w:r>
          </w:p>
        </w:tc>
        <w:tc>
          <w:tcPr/>
          <w:p>
            <w:pPr>
              <w:pStyle w:val="Compact"/>
              <w:jc w:val="right"/>
            </w:pPr>
            <w:r>
              <w:t xml:space="preserve">10</w:t>
            </w:r>
          </w:p>
        </w:tc>
        <w:tc>
          <w:tcPr/>
          <w:p>
            <w:pPr>
              <w:pStyle w:val="Compact"/>
              <w:jc w:val="right"/>
            </w:pPr>
            <w:r>
              <w:t xml:space="preserve">14.5</w:t>
            </w:r>
          </w:p>
        </w:tc>
        <w:tc>
          <w:tcPr/>
          <w:p>
            <w:pPr>
              <w:pStyle w:val="Compact"/>
              <w:jc w:val="right"/>
            </w:pPr>
            <w:r>
              <w:t xml:space="preserve">19</w:t>
            </w:r>
          </w:p>
        </w:tc>
        <w:tc>
          <w:tcPr/>
          <w:p>
            <w:pPr>
              <w:pStyle w:val="Compact"/>
              <w:jc w:val="left"/>
            </w:pPr>
            <w:r>
              <w:t xml:space="preserve">▇▇▆▇▇</w:t>
            </w:r>
          </w:p>
        </w:tc>
      </w:tr>
    </w:tbl>
    <w:bookmarkEnd w:id="35"/>
    <w:bookmarkEnd w:id="36"/>
    <w:bookmarkStart w:id="37" w:name="basic-statistical-analysis"/>
    <w:p>
      <w:pPr>
        <w:pStyle w:val="Heading2"/>
      </w:pPr>
      <w:r>
        <w:t xml:space="preserve">4.2 Basic statistical analysis</w:t>
      </w:r>
    </w:p>
    <w:bookmarkEnd w:id="37"/>
    <w:bookmarkStart w:id="38" w:name="full-analysis"/>
    <w:p>
      <w:pPr>
        <w:pStyle w:val="Heading2"/>
      </w:pPr>
      <w:r>
        <w:t xml:space="preserve">4.3 Full analysis</w:t>
      </w:r>
    </w:p>
    <w:p>
      <w:pPr>
        <w:pStyle w:val="TableCaption"/>
      </w:pPr>
      <w:r>
        <w:t xml:space="preserve">Linear model fit table.</w:t>
      </w:r>
      <w:r>
        <w:t xml:space="preserve"> </w:t>
      </w:r>
    </w:p>
    <w:tbl>
      <w:tblPr>
        <w:tblStyle w:val="Table"/>
        <w:tblW w:type="auto" w:w="0"/>
        <w:tblLook w:firstRow="1" w:lastRow="0" w:firstColumn="0" w:lastColumn="0" w:noHBand="0" w:noVBand="0" w:val="0020"/>
        <w:jc w:val="start"/>
        <w:tblCaption w:val="Linear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24.9531250</w:t>
            </w:r>
          </w:p>
        </w:tc>
        <w:tc>
          <w:tcPr/>
          <w:p>
            <w:pPr>
              <w:pStyle w:val="Compact"/>
              <w:jc w:val="right"/>
            </w:pPr>
            <w:r>
              <w:t xml:space="preserve">1.420566</w:t>
            </w:r>
          </w:p>
        </w:tc>
        <w:tc>
          <w:tcPr/>
          <w:p>
            <w:pPr>
              <w:pStyle w:val="Compact"/>
              <w:jc w:val="right"/>
            </w:pPr>
            <w:r>
              <w:t xml:space="preserve">17.5656258</w:t>
            </w:r>
          </w:p>
        </w:tc>
        <w:tc>
          <w:tcPr/>
          <w:p>
            <w:pPr>
              <w:pStyle w:val="Compact"/>
              <w:jc w:val="right"/>
            </w:pPr>
            <w:r>
              <w:t xml:space="preserve">0.0000000</w:t>
            </w:r>
          </w:p>
        </w:tc>
      </w:tr>
      <w:tr>
        <w:tc>
          <w:tcPr/>
          <w:p>
            <w:pPr>
              <w:pStyle w:val="Compact"/>
              <w:jc w:val="left"/>
            </w:pPr>
            <w:r>
              <w:t xml:space="preserve">CategoryBaselineM</w:t>
            </w:r>
          </w:p>
        </w:tc>
        <w:tc>
          <w:tcPr/>
          <w:p>
            <w:pPr>
              <w:pStyle w:val="Compact"/>
              <w:jc w:val="right"/>
            </w:pPr>
            <w:r>
              <w:t xml:space="preserve">8.6291675</w:t>
            </w:r>
          </w:p>
        </w:tc>
        <w:tc>
          <w:tcPr/>
          <w:p>
            <w:pPr>
              <w:pStyle w:val="Compact"/>
              <w:jc w:val="right"/>
            </w:pPr>
            <w:r>
              <w:t xml:space="preserve">2.008983</w:t>
            </w:r>
          </w:p>
        </w:tc>
        <w:tc>
          <w:tcPr/>
          <w:p>
            <w:pPr>
              <w:pStyle w:val="Compact"/>
              <w:jc w:val="right"/>
            </w:pPr>
            <w:r>
              <w:t xml:space="preserve">4.2952909</w:t>
            </w:r>
          </w:p>
        </w:tc>
        <w:tc>
          <w:tcPr/>
          <w:p>
            <w:pPr>
              <w:pStyle w:val="Compact"/>
              <w:jc w:val="right"/>
            </w:pPr>
            <w:r>
              <w:t xml:space="preserve">0.0000399</w:t>
            </w:r>
          </w:p>
        </w:tc>
      </w:tr>
      <w:tr>
        <w:tc>
          <w:tcPr/>
          <w:p>
            <w:pPr>
              <w:pStyle w:val="Compact"/>
              <w:jc w:val="left"/>
            </w:pPr>
            <w:r>
              <w:t xml:space="preserve">CategoryBetaCaroM</w:t>
            </w:r>
          </w:p>
        </w:tc>
        <w:tc>
          <w:tcPr/>
          <w:p>
            <w:pPr>
              <w:pStyle w:val="Compact"/>
              <w:jc w:val="right"/>
            </w:pPr>
            <w:r>
              <w:t xml:space="preserve">9.8465239</w:t>
            </w:r>
          </w:p>
        </w:tc>
        <w:tc>
          <w:tcPr/>
          <w:p>
            <w:pPr>
              <w:pStyle w:val="Compact"/>
              <w:jc w:val="right"/>
            </w:pPr>
            <w:r>
              <w:t xml:space="preserve">1.928051</w:t>
            </w:r>
          </w:p>
        </w:tc>
        <w:tc>
          <w:tcPr/>
          <w:p>
            <w:pPr>
              <w:pStyle w:val="Compact"/>
              <w:jc w:val="right"/>
            </w:pPr>
            <w:r>
              <w:t xml:space="preserve">5.1069829</w:t>
            </w:r>
          </w:p>
        </w:tc>
        <w:tc>
          <w:tcPr/>
          <w:p>
            <w:pPr>
              <w:pStyle w:val="Compact"/>
              <w:jc w:val="right"/>
            </w:pPr>
            <w:r>
              <w:t xml:space="preserve">0.0000015</w:t>
            </w:r>
          </w:p>
        </w:tc>
      </w:tr>
      <w:tr>
        <w:tc>
          <w:tcPr/>
          <w:p>
            <w:pPr>
              <w:pStyle w:val="Compact"/>
              <w:jc w:val="left"/>
            </w:pPr>
            <w:r>
              <w:t xml:space="preserve">CategoryBetaCaroteneF</w:t>
            </w:r>
          </w:p>
        </w:tc>
        <w:tc>
          <w:tcPr/>
          <w:p>
            <w:pPr>
              <w:pStyle w:val="Compact"/>
              <w:jc w:val="right"/>
            </w:pPr>
            <w:r>
              <w:t xml:space="preserve">-0.3559324</w:t>
            </w:r>
          </w:p>
        </w:tc>
        <w:tc>
          <w:tcPr/>
          <w:p>
            <w:pPr>
              <w:pStyle w:val="Compact"/>
              <w:jc w:val="right"/>
            </w:pPr>
            <w:r>
              <w:t xml:space="preserve">1.928051</w:t>
            </w:r>
          </w:p>
        </w:tc>
        <w:tc>
          <w:tcPr/>
          <w:p>
            <w:pPr>
              <w:pStyle w:val="Compact"/>
              <w:jc w:val="right"/>
            </w:pPr>
            <w:r>
              <w:t xml:space="preserve">-0.1846073</w:t>
            </w:r>
          </w:p>
        </w:tc>
        <w:tc>
          <w:tcPr/>
          <w:p>
            <w:pPr>
              <w:pStyle w:val="Compact"/>
              <w:jc w:val="right"/>
            </w:pPr>
            <w:r>
              <w:t xml:space="preserve">0.8539036</w:t>
            </w:r>
          </w:p>
        </w:tc>
      </w:tr>
      <w:tr>
        <w:tc>
          <w:tcPr/>
          <w:p>
            <w:pPr>
              <w:pStyle w:val="Compact"/>
              <w:jc w:val="left"/>
            </w:pPr>
            <w:r>
              <w:t xml:space="preserve">CategoryControlF</w:t>
            </w:r>
          </w:p>
        </w:tc>
        <w:tc>
          <w:tcPr/>
          <w:p>
            <w:pPr>
              <w:pStyle w:val="Compact"/>
              <w:jc w:val="right"/>
            </w:pPr>
            <w:r>
              <w:t xml:space="preserve">0.1689803</w:t>
            </w:r>
          </w:p>
        </w:tc>
        <w:tc>
          <w:tcPr/>
          <w:p>
            <w:pPr>
              <w:pStyle w:val="Compact"/>
              <w:jc w:val="right"/>
            </w:pPr>
            <w:r>
              <w:t xml:space="preserve">1.928051</w:t>
            </w:r>
          </w:p>
        </w:tc>
        <w:tc>
          <w:tcPr/>
          <w:p>
            <w:pPr>
              <w:pStyle w:val="Compact"/>
              <w:jc w:val="right"/>
            </w:pPr>
            <w:r>
              <w:t xml:space="preserve">0.0876430</w:t>
            </w:r>
          </w:p>
        </w:tc>
        <w:tc>
          <w:tcPr/>
          <w:p>
            <w:pPr>
              <w:pStyle w:val="Compact"/>
              <w:jc w:val="right"/>
            </w:pPr>
            <w:r>
              <w:t xml:space="preserve">0.9303322</w:t>
            </w:r>
          </w:p>
        </w:tc>
      </w:tr>
      <w:tr>
        <w:tc>
          <w:tcPr/>
          <w:p>
            <w:pPr>
              <w:pStyle w:val="Compact"/>
              <w:jc w:val="left"/>
            </w:pPr>
            <w:r>
              <w:t xml:space="preserve">CategoryControlM</w:t>
            </w:r>
          </w:p>
        </w:tc>
        <w:tc>
          <w:tcPr/>
          <w:p>
            <w:pPr>
              <w:pStyle w:val="Compact"/>
              <w:jc w:val="right"/>
            </w:pPr>
            <w:r>
              <w:t xml:space="preserve">9.3995066</w:t>
            </w:r>
          </w:p>
        </w:tc>
        <w:tc>
          <w:tcPr/>
          <w:p>
            <w:pPr>
              <w:pStyle w:val="Compact"/>
              <w:jc w:val="right"/>
            </w:pPr>
            <w:r>
              <w:t xml:space="preserve">1.928051</w:t>
            </w:r>
          </w:p>
        </w:tc>
        <w:tc>
          <w:tcPr/>
          <w:p>
            <w:pPr>
              <w:pStyle w:val="Compact"/>
              <w:jc w:val="right"/>
            </w:pPr>
            <w:r>
              <w:t xml:space="preserve">4.8751336</w:t>
            </w:r>
          </w:p>
        </w:tc>
        <w:tc>
          <w:tcPr/>
          <w:p>
            <w:pPr>
              <w:pStyle w:val="Compact"/>
              <w:jc w:val="right"/>
            </w:pPr>
            <w:r>
              <w:t xml:space="preserve">0.0000040</w:t>
            </w:r>
          </w:p>
        </w:tc>
      </w:tr>
    </w:tbl>
    <w:p>
      <w:pPr>
        <w:pStyle w:val="BodyText"/>
      </w:pPr>
      <w:r>
        <w:t xml:space="preserve">Linear Regression: The results reveal the estimated effects of different treatment categories on the response variable, body weight, along with their statistical significance. The intercept, estimated at 25.0, represents the baseline level of the response variable when all predictors are zero. Relative to a reference category, presumably</w:t>
      </w:r>
      <w:r>
        <w:t xml:space="preserve"> </w:t>
      </w:r>
      <w:r>
        <w:t xml:space="preserve">“</w:t>
      </w:r>
      <w:r>
        <w:t xml:space="preserve">BaselineM</w:t>
      </w:r>
      <w:r>
        <w:t xml:space="preserve">”</w:t>
      </w:r>
      <w:r>
        <w:t xml:space="preserve">, coefficients associated with each treatment category provide insights into their effects on the response variable. For instance,</w:t>
      </w:r>
      <w:r>
        <w:t xml:space="preserve"> </w:t>
      </w:r>
      <w:r>
        <w:t xml:space="preserve">“</w:t>
      </w:r>
      <w:r>
        <w:t xml:space="preserve">BaselineM</w:t>
      </w:r>
      <w:r>
        <w:t xml:space="preserve">”</w:t>
      </w:r>
      <w:r>
        <w:t xml:space="preserve"> </w:t>
      </w:r>
      <w:r>
        <w:t xml:space="preserve">and</w:t>
      </w:r>
      <w:r>
        <w:t xml:space="preserve"> </w:t>
      </w:r>
      <w:r>
        <w:t xml:space="preserve">“</w:t>
      </w:r>
      <w:r>
        <w:t xml:space="preserve">BetaCaroM</w:t>
      </w:r>
      <w:r>
        <w:t xml:space="preserve">”</w:t>
      </w:r>
      <w:r>
        <w:t xml:space="preserve"> </w:t>
      </w:r>
      <w:r>
        <w:t xml:space="preserve">are associated with increases in the response variable by approximately 8.63 and 9.85 units, respectively, compared to the reference category. Conversely,</w:t>
      </w:r>
      <w:r>
        <w:t xml:space="preserve"> </w:t>
      </w:r>
      <w:r>
        <w:t xml:space="preserve">“</w:t>
      </w:r>
      <w:r>
        <w:t xml:space="preserve">BetaCaroteneF</w:t>
      </w:r>
      <w:r>
        <w:t xml:space="preserve">”</w:t>
      </w:r>
      <w:r>
        <w:t xml:space="preserve">,</w:t>
      </w:r>
      <w:r>
        <w:t xml:space="preserve"> </w:t>
      </w:r>
      <w:r>
        <w:t xml:space="preserve">“</w:t>
      </w:r>
      <w:r>
        <w:t xml:space="preserve">ControlF</w:t>
      </w:r>
      <w:r>
        <w:t xml:space="preserve">”</w:t>
      </w:r>
      <w:r>
        <w:t xml:space="preserve">, and</w:t>
      </w:r>
      <w:r>
        <w:t xml:space="preserve"> </w:t>
      </w:r>
      <w:r>
        <w:t xml:space="preserve">“</w:t>
      </w:r>
      <w:r>
        <w:t xml:space="preserve">ControlM</w:t>
      </w:r>
      <w:r>
        <w:t xml:space="preserve">”</w:t>
      </w:r>
      <w:r>
        <w:t xml:space="preserve"> </w:t>
      </w:r>
      <w:r>
        <w:t xml:space="preserve">exhibit smaller or even negative effects, but the statistical significance varies among these categories, with</w:t>
      </w:r>
      <w:r>
        <w:t xml:space="preserve"> </w:t>
      </w:r>
      <w:r>
        <w:t xml:space="preserve">“</w:t>
      </w:r>
      <w:r>
        <w:t xml:space="preserve">BetaCaroteneF</w:t>
      </w:r>
      <w:r>
        <w:t xml:space="preserve">”</w:t>
      </w:r>
      <w:r>
        <w:t xml:space="preserve"> </w:t>
      </w:r>
      <w:r>
        <w:t xml:space="preserve">showing a non-significant effect and others demonstrating statistically significant effects with low p-values.</w:t>
      </w:r>
    </w:p>
    <w:p>
      <w:pPr>
        <w:pStyle w:val="TableCaption"/>
      </w:pPr>
      <w:r>
        <w:t xml:space="preserve">Time Series model fit table.</w:t>
      </w:r>
      <w:r>
        <w:t xml:space="preserve"> </w:t>
      </w:r>
    </w:p>
    <w:tbl>
      <w:tblPr>
        <w:tblStyle w:val="Table"/>
        <w:tblW w:type="auto" w:w="0"/>
        <w:tblLook w:firstRow="1" w:lastRow="0" w:firstColumn="0" w:lastColumn="0" w:noHBand="0" w:noVBand="0" w:val="0020"/>
        <w:jc w:val="start"/>
        <w:tblCaption w:val="Time Series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14.9633916</w:t>
            </w:r>
          </w:p>
        </w:tc>
        <w:tc>
          <w:tcPr/>
          <w:p>
            <w:pPr>
              <w:pStyle w:val="Compact"/>
              <w:jc w:val="right"/>
            </w:pPr>
            <w:r>
              <w:t xml:space="preserve">0.6518010</w:t>
            </w:r>
          </w:p>
        </w:tc>
        <w:tc>
          <w:tcPr/>
          <w:p>
            <w:pPr>
              <w:pStyle w:val="Compact"/>
              <w:jc w:val="right"/>
            </w:pPr>
            <w:r>
              <w:t xml:space="preserve">22.956992</w:t>
            </w:r>
          </w:p>
        </w:tc>
        <w:tc>
          <w:tcPr/>
          <w:p>
            <w:pPr>
              <w:pStyle w:val="Compact"/>
              <w:jc w:val="right"/>
            </w:pPr>
            <w:r>
              <w:t xml:space="preserve">0.0000000</w:t>
            </w:r>
          </w:p>
        </w:tc>
      </w:tr>
      <w:tr>
        <w:tc>
          <w:tcPr/>
          <w:p>
            <w:pPr>
              <w:pStyle w:val="Compact"/>
              <w:jc w:val="left"/>
            </w:pPr>
            <w:r>
              <w:t xml:space="preserve">Week</w:t>
            </w:r>
          </w:p>
        </w:tc>
        <w:tc>
          <w:tcPr/>
          <w:p>
            <w:pPr>
              <w:pStyle w:val="Compact"/>
              <w:jc w:val="right"/>
            </w:pPr>
            <w:r>
              <w:t xml:space="preserve">1.1046852</w:t>
            </w:r>
          </w:p>
        </w:tc>
        <w:tc>
          <w:tcPr/>
          <w:p>
            <w:pPr>
              <w:pStyle w:val="Compact"/>
              <w:jc w:val="right"/>
            </w:pPr>
            <w:r>
              <w:t xml:space="preserve">0.2519033</w:t>
            </w:r>
          </w:p>
        </w:tc>
        <w:tc>
          <w:tcPr/>
          <w:p>
            <w:pPr>
              <w:pStyle w:val="Compact"/>
              <w:jc w:val="right"/>
            </w:pPr>
            <w:r>
              <w:t xml:space="preserve">4.385354</w:t>
            </w:r>
          </w:p>
        </w:tc>
        <w:tc>
          <w:tcPr/>
          <w:p>
            <w:pPr>
              <w:pStyle w:val="Compact"/>
              <w:jc w:val="right"/>
            </w:pPr>
            <w:r>
              <w:t xml:space="preserve">0.0000289</w:t>
            </w:r>
          </w:p>
        </w:tc>
      </w:tr>
      <w:tr>
        <w:tc>
          <w:tcPr/>
          <w:p>
            <w:pPr>
              <w:pStyle w:val="Compact"/>
              <w:jc w:val="left"/>
            </w:pPr>
            <w:r>
              <w:t xml:space="preserve">I(Week^2)</w:t>
            </w:r>
          </w:p>
        </w:tc>
        <w:tc>
          <w:tcPr/>
          <w:p>
            <w:pPr>
              <w:pStyle w:val="Compact"/>
              <w:jc w:val="right"/>
            </w:pPr>
            <w:r>
              <w:t xml:space="preserve">0.0350423</w:t>
            </w:r>
          </w:p>
        </w:tc>
        <w:tc>
          <w:tcPr/>
          <w:p>
            <w:pPr>
              <w:pStyle w:val="Compact"/>
              <w:jc w:val="right"/>
            </w:pPr>
            <w:r>
              <w:t xml:space="preserve">0.0292789</w:t>
            </w:r>
          </w:p>
        </w:tc>
        <w:tc>
          <w:tcPr/>
          <w:p>
            <w:pPr>
              <w:pStyle w:val="Compact"/>
              <w:jc w:val="right"/>
            </w:pPr>
            <w:r>
              <w:t xml:space="preserve">1.196844</w:t>
            </w:r>
          </w:p>
        </w:tc>
        <w:tc>
          <w:tcPr/>
          <w:p>
            <w:pPr>
              <w:pStyle w:val="Compact"/>
              <w:jc w:val="right"/>
            </w:pPr>
            <w:r>
              <w:t xml:space="preserve">0.2342255</w:t>
            </w:r>
          </w:p>
        </w:tc>
      </w:tr>
      <w:tr>
        <w:tc>
          <w:tcPr/>
          <w:p>
            <w:pPr>
              <w:pStyle w:val="Compact"/>
              <w:jc w:val="left"/>
            </w:pPr>
            <w:r>
              <w:t xml:space="preserve">I(Week^3)</w:t>
            </w:r>
          </w:p>
        </w:tc>
        <w:tc>
          <w:tcPr/>
          <w:p>
            <w:pPr>
              <w:pStyle w:val="Compact"/>
              <w:jc w:val="right"/>
            </w:pPr>
            <w:r>
              <w:t xml:space="preserve">-0.0023153</w:t>
            </w:r>
          </w:p>
        </w:tc>
        <w:tc>
          <w:tcPr/>
          <w:p>
            <w:pPr>
              <w:pStyle w:val="Compact"/>
              <w:jc w:val="right"/>
            </w:pPr>
            <w:r>
              <w:t xml:space="preserve">0.0009802</w:t>
            </w:r>
          </w:p>
        </w:tc>
        <w:tc>
          <w:tcPr/>
          <w:p>
            <w:pPr>
              <w:pStyle w:val="Compact"/>
              <w:jc w:val="right"/>
            </w:pPr>
            <w:r>
              <w:t xml:space="preserve">-2.362000</w:t>
            </w:r>
          </w:p>
        </w:tc>
        <w:tc>
          <w:tcPr/>
          <w:p>
            <w:pPr>
              <w:pStyle w:val="Compact"/>
              <w:jc w:val="right"/>
            </w:pPr>
            <w:r>
              <w:t xml:space="preserve">0.0201334</w:t>
            </w:r>
          </w:p>
        </w:tc>
      </w:tr>
      <w:tr>
        <w:tc>
          <w:tcPr/>
          <w:p>
            <w:pPr>
              <w:pStyle w:val="Compact"/>
              <w:jc w:val="left"/>
            </w:pPr>
            <w:r>
              <w:t xml:space="preserve">CategoryBaselineM</w:t>
            </w:r>
          </w:p>
        </w:tc>
        <w:tc>
          <w:tcPr/>
          <w:p>
            <w:pPr>
              <w:pStyle w:val="Compact"/>
              <w:jc w:val="right"/>
            </w:pPr>
            <w:r>
              <w:t xml:space="preserve">8.6291675</w:t>
            </w:r>
          </w:p>
        </w:tc>
        <w:tc>
          <w:tcPr/>
          <w:p>
            <w:pPr>
              <w:pStyle w:val="Compact"/>
              <w:jc w:val="right"/>
            </w:pPr>
            <w:r>
              <w:t xml:space="preserve">0.4469748</w:t>
            </w:r>
          </w:p>
        </w:tc>
        <w:tc>
          <w:tcPr/>
          <w:p>
            <w:pPr>
              <w:pStyle w:val="Compact"/>
              <w:jc w:val="right"/>
            </w:pPr>
            <w:r>
              <w:t xml:space="preserve">19.305712</w:t>
            </w:r>
          </w:p>
        </w:tc>
        <w:tc>
          <w:tcPr/>
          <w:p>
            <w:pPr>
              <w:pStyle w:val="Compact"/>
              <w:jc w:val="right"/>
            </w:pPr>
            <w:r>
              <w:t xml:space="preserve">0.0000000</w:t>
            </w:r>
          </w:p>
        </w:tc>
      </w:tr>
      <w:tr>
        <w:tc>
          <w:tcPr/>
          <w:p>
            <w:pPr>
              <w:pStyle w:val="Compact"/>
              <w:jc w:val="left"/>
            </w:pPr>
            <w:r>
              <w:t xml:space="preserve">CategoryBetaCaroM</w:t>
            </w:r>
          </w:p>
        </w:tc>
        <w:tc>
          <w:tcPr/>
          <w:p>
            <w:pPr>
              <w:pStyle w:val="Compact"/>
              <w:jc w:val="right"/>
            </w:pPr>
            <w:r>
              <w:t xml:space="preserve">8.6330722</w:t>
            </w:r>
          </w:p>
        </w:tc>
        <w:tc>
          <w:tcPr/>
          <w:p>
            <w:pPr>
              <w:pStyle w:val="Compact"/>
              <w:jc w:val="right"/>
            </w:pPr>
            <w:r>
              <w:t xml:space="preserve">0.4325931</w:t>
            </w:r>
          </w:p>
        </w:tc>
        <w:tc>
          <w:tcPr/>
          <w:p>
            <w:pPr>
              <w:pStyle w:val="Compact"/>
              <w:jc w:val="right"/>
            </w:pPr>
            <w:r>
              <w:t xml:space="preserve">19.956567</w:t>
            </w:r>
          </w:p>
        </w:tc>
        <w:tc>
          <w:tcPr/>
          <w:p>
            <w:pPr>
              <w:pStyle w:val="Compact"/>
              <w:jc w:val="right"/>
            </w:pPr>
            <w:r>
              <w:t xml:space="preserve">0.0000000</w:t>
            </w:r>
          </w:p>
        </w:tc>
      </w:tr>
      <w:tr>
        <w:tc>
          <w:tcPr/>
          <w:p>
            <w:pPr>
              <w:pStyle w:val="Compact"/>
              <w:jc w:val="left"/>
            </w:pPr>
            <w:r>
              <w:t xml:space="preserve">CategoryBetaCaroteneF</w:t>
            </w:r>
          </w:p>
        </w:tc>
        <w:tc>
          <w:tcPr/>
          <w:p>
            <w:pPr>
              <w:pStyle w:val="Compact"/>
              <w:jc w:val="right"/>
            </w:pPr>
            <w:r>
              <w:t xml:space="preserve">-1.5693841</w:t>
            </w:r>
          </w:p>
        </w:tc>
        <w:tc>
          <w:tcPr/>
          <w:p>
            <w:pPr>
              <w:pStyle w:val="Compact"/>
              <w:jc w:val="right"/>
            </w:pPr>
            <w:r>
              <w:t xml:space="preserve">0.4325931</w:t>
            </w:r>
          </w:p>
        </w:tc>
        <w:tc>
          <w:tcPr/>
          <w:p>
            <w:pPr>
              <w:pStyle w:val="Compact"/>
              <w:jc w:val="right"/>
            </w:pPr>
            <w:r>
              <w:t xml:space="preserve">-3.627853</w:t>
            </w:r>
          </w:p>
        </w:tc>
        <w:tc>
          <w:tcPr/>
          <w:p>
            <w:pPr>
              <w:pStyle w:val="Compact"/>
              <w:jc w:val="right"/>
            </w:pPr>
            <w:r>
              <w:t xml:space="preserve">0.0004541</w:t>
            </w:r>
          </w:p>
        </w:tc>
      </w:tr>
      <w:tr>
        <w:tc>
          <w:tcPr/>
          <w:p>
            <w:pPr>
              <w:pStyle w:val="Compact"/>
              <w:jc w:val="left"/>
            </w:pPr>
            <w:r>
              <w:t xml:space="preserve">CategoryControlF</w:t>
            </w:r>
          </w:p>
        </w:tc>
        <w:tc>
          <w:tcPr/>
          <w:p>
            <w:pPr>
              <w:pStyle w:val="Compact"/>
              <w:jc w:val="right"/>
            </w:pPr>
            <w:r>
              <w:t xml:space="preserve">-1.0444715</w:t>
            </w:r>
          </w:p>
        </w:tc>
        <w:tc>
          <w:tcPr/>
          <w:p>
            <w:pPr>
              <w:pStyle w:val="Compact"/>
              <w:jc w:val="right"/>
            </w:pPr>
            <w:r>
              <w:t xml:space="preserve">0.4325931</w:t>
            </w:r>
          </w:p>
        </w:tc>
        <w:tc>
          <w:tcPr/>
          <w:p>
            <w:pPr>
              <w:pStyle w:val="Compact"/>
              <w:jc w:val="right"/>
            </w:pPr>
            <w:r>
              <w:t xml:space="preserve">-2.414443</w:t>
            </w:r>
          </w:p>
        </w:tc>
        <w:tc>
          <w:tcPr/>
          <w:p>
            <w:pPr>
              <w:pStyle w:val="Compact"/>
              <w:jc w:val="right"/>
            </w:pPr>
            <w:r>
              <w:t xml:space="preserve">0.0175957</w:t>
            </w:r>
          </w:p>
        </w:tc>
      </w:tr>
      <w:tr>
        <w:tc>
          <w:tcPr/>
          <w:p>
            <w:pPr>
              <w:pStyle w:val="Compact"/>
              <w:jc w:val="left"/>
            </w:pPr>
            <w:r>
              <w:t xml:space="preserve">CategoryControlM</w:t>
            </w:r>
          </w:p>
        </w:tc>
        <w:tc>
          <w:tcPr/>
          <w:p>
            <w:pPr>
              <w:pStyle w:val="Compact"/>
              <w:jc w:val="right"/>
            </w:pPr>
            <w:r>
              <w:t xml:space="preserve">8.1860549</w:t>
            </w:r>
          </w:p>
        </w:tc>
        <w:tc>
          <w:tcPr/>
          <w:p>
            <w:pPr>
              <w:pStyle w:val="Compact"/>
              <w:jc w:val="right"/>
            </w:pPr>
            <w:r>
              <w:t xml:space="preserve">0.4325931</w:t>
            </w:r>
          </w:p>
        </w:tc>
        <w:tc>
          <w:tcPr/>
          <w:p>
            <w:pPr>
              <w:pStyle w:val="Compact"/>
              <w:jc w:val="right"/>
            </w:pPr>
            <w:r>
              <w:t xml:space="preserve">18.923223</w:t>
            </w:r>
          </w:p>
        </w:tc>
        <w:tc>
          <w:tcPr/>
          <w:p>
            <w:pPr>
              <w:pStyle w:val="Compact"/>
              <w:jc w:val="right"/>
            </w:pPr>
            <w:r>
              <w:t xml:space="preserve">0.0000000</w:t>
            </w:r>
          </w:p>
        </w:tc>
      </w:tr>
    </w:tbl>
    <w:p>
      <w:pPr>
        <w:pStyle w:val="BodyText"/>
      </w:pPr>
      <w:r>
        <w:t xml:space="preserve">Time Series Model: The linear regression model was constructed to investigate the relationship between body weight and time (Week) while considering treatment variables. The model revealed several key findings. Firstly, the estimated intercept of 14.9634 suggests that the average body weight at the beginning of the observation period, when all other predictors are zero, is approximately 14.9634 units. Additionally, the coefficient for Week, estimated at 1.1047, indicates that body weight tends to increase by approximately 1.1047 units for each additional week, assuming a linear trend. However, the quadratic and cubic terms of Week were not statistically significant, suggesting that the relationship between body weight and time may not exhibit quadratic or cubic trends.</w:t>
      </w:r>
    </w:p>
    <w:p>
      <w:pPr>
        <w:pStyle w:val="BodyText"/>
      </w:pPr>
      <w:r>
        <w:t xml:space="preserve">Furthermore, the model uncovered notable effects of treatment variables on body weight. Specifically, compared to the reference level</w:t>
      </w:r>
      <w:r>
        <w:t xml:space="preserve"> </w:t>
      </w:r>
      <w:r>
        <w:t xml:space="preserve">“</w:t>
      </w:r>
      <w:r>
        <w:t xml:space="preserve">BaselineM</w:t>
      </w:r>
      <w:r>
        <w:t xml:space="preserve">”</w:t>
      </w:r>
      <w:r>
        <w:t xml:space="preserve">, various treatment categories exhibited significant impacts on body weight. For instance,</w:t>
      </w:r>
      <w:r>
        <w:t xml:space="preserve"> </w:t>
      </w:r>
      <w:r>
        <w:t xml:space="preserve">“</w:t>
      </w:r>
      <w:r>
        <w:t xml:space="preserve">BetaCaroM</w:t>
      </w:r>
      <w:r>
        <w:t xml:space="preserve">”</w:t>
      </w:r>
      <w:r>
        <w:t xml:space="preserve"> </w:t>
      </w:r>
      <w:r>
        <w:t xml:space="preserve">and</w:t>
      </w:r>
      <w:r>
        <w:t xml:space="preserve"> </w:t>
      </w:r>
      <w:r>
        <w:t xml:space="preserve">“</w:t>
      </w:r>
      <w:r>
        <w:t xml:space="preserve">ControlM</w:t>
      </w:r>
      <w:r>
        <w:t xml:space="preserve">”</w:t>
      </w:r>
      <w:r>
        <w:t xml:space="preserve"> </w:t>
      </w:r>
      <w:r>
        <w:t xml:space="preserve">categories were associated with increased body weight by 8.6331 and 8.1861 units, respectively, compared to</w:t>
      </w:r>
      <w:r>
        <w:t xml:space="preserve"> </w:t>
      </w:r>
      <w:r>
        <w:t xml:space="preserve">“</w:t>
      </w:r>
      <w:r>
        <w:t xml:space="preserve">BaselineM</w:t>
      </w:r>
      <w:r>
        <w:t xml:space="preserve">”</w:t>
      </w:r>
      <w:r>
        <w:t xml:space="preserve">. Conversely,</w:t>
      </w:r>
      <w:r>
        <w:t xml:space="preserve"> </w:t>
      </w:r>
      <w:r>
        <w:t xml:space="preserve">“</w:t>
      </w:r>
      <w:r>
        <w:t xml:space="preserve">BetaCaroteneF</w:t>
      </w:r>
      <w:r>
        <w:t xml:space="preserve">”</w:t>
      </w:r>
      <w:r>
        <w:t xml:space="preserve"> </w:t>
      </w:r>
      <w:r>
        <w:t xml:space="preserve">and</w:t>
      </w:r>
      <w:r>
        <w:t xml:space="preserve"> </w:t>
      </w:r>
      <w:r>
        <w:t xml:space="preserve">“</w:t>
      </w:r>
      <w:r>
        <w:t xml:space="preserve">ControlF</w:t>
      </w:r>
      <w:r>
        <w:t xml:space="preserve">”</w:t>
      </w:r>
      <w:r>
        <w:t xml:space="preserve"> </w:t>
      </w:r>
      <w:r>
        <w:t xml:space="preserve">categories were associated with decreases in body weight by 1.5694 and 1.0445 units, respectively, compared to</w:t>
      </w:r>
      <w:r>
        <w:t xml:space="preserve"> </w:t>
      </w:r>
      <w:r>
        <w:t xml:space="preserve">“</w:t>
      </w:r>
      <w:r>
        <w:t xml:space="preserve">BaselineM</w:t>
      </w:r>
      <w:r>
        <w:t xml:space="preserve">”</w:t>
      </w:r>
      <w:r>
        <w:t xml:space="preserve">. These findings collectively suggest that both time and treatment variables play crucial roles in influencing body weight variations over the observed period.</w:t>
      </w:r>
    </w:p>
    <w:p>
      <w:r>
        <w:br w:type="page"/>
      </w:r>
    </w:p>
    <w:bookmarkEnd w:id="38"/>
    <w:bookmarkEnd w:id="39"/>
    <w:bookmarkStart w:id="44" w:name="discussion"/>
    <w:p>
      <w:pPr>
        <w:pStyle w:val="Heading1"/>
      </w:pPr>
      <w:r>
        <w:t xml:space="preserve">5. Discussion</w:t>
      </w:r>
    </w:p>
    <w:bookmarkStart w:id="40"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0"/>
    <w:bookmarkStart w:id="41"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1"/>
    <w:bookmarkStart w:id="43"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3"/>
    <w:bookmarkEnd w:id="44"/>
    <w:bookmarkStart w:id="52" w:name="references"/>
    <w:p>
      <w:pPr>
        <w:pStyle w:val="Heading1"/>
      </w:pPr>
      <w:r>
        <w:t xml:space="preserve">6. References</w:t>
      </w:r>
    </w:p>
    <w:bookmarkStart w:id="51" w:name="refs"/>
    <w:bookmarkStart w:id="4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5">
        <w:r>
          <w:rPr>
            <w:rStyle w:val="Hyperlink"/>
          </w:rPr>
          <w:t xml:space="preserve">https://doi.org/10.1126/science.aaa6146</w:t>
        </w:r>
      </w:hyperlink>
    </w:p>
    <w:bookmarkEnd w:id="46"/>
    <w:bookmarkStart w:id="4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7">
        <w:r>
          <w:rPr>
            <w:rStyle w:val="Hyperlink"/>
          </w:rPr>
          <w:t xml:space="preserve">https://doi.org/10.1093/ofid/ofaa494</w:t>
        </w:r>
      </w:hyperlink>
    </w:p>
    <w:bookmarkEnd w:id="48"/>
    <w:bookmarkStart w:id="5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9">
        <w:r>
          <w:rPr>
            <w:rStyle w:val="Hyperlink"/>
          </w:rPr>
          <w:t xml:space="preserve">https://doi.org/10.1098/rspb.2020.0496</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Relationship Between β-carotene Levels, BCO1 Variants, and Atherosclerosis Progression through Data Analysis</dc:title>
  <dc:creator>Mutsa Nyamuranga</dc:creator>
  <cp:keywords/>
  <dcterms:created xsi:type="dcterms:W3CDTF">2024-04-05T01:59:42Z</dcterms:created>
  <dcterms:modified xsi:type="dcterms:W3CDTF">2024-04-05T01:59:42Z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2024-04-04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Insights into Plasma Lipid Profiles and Immune Cell Dynamics for Cardiovascular Health</vt:lpwstr>
  </property>
  <property fmtid="{D5CDD505-2E9C-101B-9397-08002B2CF9AE}" pid="13" name="toc-title">
    <vt:lpwstr>Table of contents</vt:lpwstr>
  </property>
</Properties>
</file>