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Author"/>
      </w:pPr>
      <w:r>
        <w:t xml:space="preserve">Cassia</w:t>
      </w:r>
      <w:r>
        <w:t xml:space="preserve"> </w:t>
      </w:r>
      <w:r>
        <w:t xml:space="preserve">Roth</w:t>
      </w:r>
    </w:p>
    <w:p>
      <w:pPr>
        <w:pStyle w:val="Date"/>
      </w:pPr>
      <w:r>
        <w:t xml:space="preserve">2024-04-04</w:t>
      </w:r>
    </w:p>
    <w:bookmarkStart w:id="20" w:name="data-source"/>
    <w:p>
      <w:pPr>
        <w:pStyle w:val="Heading2"/>
      </w:pPr>
      <w:r>
        <w:t xml:space="preserve">1 Data Source</w:t>
      </w:r>
    </w:p>
    <w:p>
      <w:pPr>
        <w:pStyle w:val="FirstParagraph"/>
      </w:pPr>
      <w:r>
        <w:t xml:space="preserve">In the initial months of publication, the reports included more complete information, including labor time or detailed descriptions of surgical procedures. Over time, clinical notes became streamlined. When physicians intervened in birth, the notes included the type of intervention, the indication, and the obstetrician. For more information on this as a source, see my other publications</w:t>
      </w:r>
      <w:r>
        <w:t xml:space="preserve"> </w:t>
      </w:r>
      <w:r>
        <w:t xml:space="preserve">(2)</w:t>
      </w:r>
      <w:r>
        <w:t xml:space="preserve">.</w:t>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w:t>
      </w:r>
    </w:p>
    <w:bookmarkEnd w:id="20"/>
    <w:bookmarkStart w:id="25" w:name="study-measures"/>
    <w:p>
      <w:pPr>
        <w:pStyle w:val="Heading2"/>
      </w:pPr>
      <w:r>
        <w:t xml:space="preserve">2 Study Measures</w:t>
      </w:r>
    </w:p>
    <w:bookmarkStart w:id="21" w:name="maternal-skin-color"/>
    <w:p>
      <w:pPr>
        <w:pStyle w:val="Heading3"/>
      </w:pPr>
      <w:r>
        <w:t xml:space="preserve">2.1 Maternal Skin Color</w:t>
      </w:r>
    </w:p>
    <w:p>
      <w:pPr>
        <w:pStyle w:val="FirstParagraph"/>
      </w:pPr>
      <w:r>
        <w:t xml:space="preserve">The original data categorized maternal racial categories as White (</w:t>
      </w:r>
      <w:r>
        <w:rPr>
          <w:iCs/>
          <w:i/>
        </w:rPr>
        <w:t xml:space="preserve">branca</w:t>
      </w:r>
      <w:r>
        <w:t xml:space="preserve">), the reference group here;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w:t>
      </w:r>
      <w:r>
        <w:t xml:space="preserve">and all White patients into a</w:t>
      </w:r>
      <w:r>
        <w:t xml:space="preserve"> </w:t>
      </w:r>
      <w:r>
        <w:rPr>
          <w:rStyle w:val="VerbatimChar"/>
        </w:rPr>
        <w:t xml:space="preserve">Euro-Descent</w:t>
      </w:r>
      <w:r>
        <w:t xml:space="preserve"> </w:t>
      </w:r>
      <w:r>
        <w:t xml:space="preserve">category. Please see the</w:t>
      </w:r>
      <w:r>
        <w:t xml:space="preserve"> </w:t>
      </w:r>
      <w:r>
        <w:rPr>
          <w:rStyle w:val="VerbatimChar"/>
        </w:rPr>
        <w:t xml:space="preserve">eda-v1.qmd</w:t>
      </w:r>
      <w:r>
        <w:t xml:space="preserve"> </w:t>
      </w:r>
      <w:r>
        <w:t xml:space="preserve">file for more information on the variable manipulation process.</w:t>
      </w:r>
    </w:p>
    <w:bookmarkEnd w:id="21"/>
    <w:bookmarkStart w:id="22" w:name="gestational-status"/>
    <w:p>
      <w:pPr>
        <w:pStyle w:val="Heading3"/>
      </w:pPr>
      <w:r>
        <w:t xml:space="preserve">2.2 Gestational Status</w:t>
      </w:r>
    </w:p>
    <w:p>
      <w:pPr>
        <w:pStyle w:val="FirstParagraph"/>
      </w:pPr>
      <w:r>
        <w:t xml:space="preserve">Gestational status was divided into parity and gravidity. Originally, the data had eight categories: nullipara, primipara, secundipara, multipara; and primigravida, secundigravida, trigravida, and multigravida. I combined categories into four final categories: 1) nullipara and primigravida into</w:t>
      </w:r>
      <w:r>
        <w:t xml:space="preserve"> </w:t>
      </w:r>
      <w:r>
        <w:rPr>
          <w:rStyle w:val="VerbatimChar"/>
        </w:rPr>
        <w:t xml:space="preserve">nullipara</w:t>
      </w:r>
      <w:r>
        <w:t xml:space="preserve"> </w:t>
      </w:r>
      <w:r>
        <w:t xml:space="preserve">(or any woman who has never given birth to a viable fetus); 2) primipara into</w:t>
      </w:r>
      <w:r>
        <w:t xml:space="preserve"> </w:t>
      </w:r>
      <w:r>
        <w:rPr>
          <w:rStyle w:val="VerbatimChar"/>
        </w:rPr>
        <w:t xml:space="preserve">primipara</w:t>
      </w:r>
      <w:r>
        <w:t xml:space="preserve"> </w:t>
      </w:r>
      <w:r>
        <w:t xml:space="preserve">(or any woman who has given birth to one viable fetus); 3) secundipara and multipara into</w:t>
      </w:r>
      <w:r>
        <w:t xml:space="preserve"> </w:t>
      </w:r>
      <w:r>
        <w:rPr>
          <w:rStyle w:val="VerbatimChar"/>
        </w:rPr>
        <w:t xml:space="preserve">multipara</w:t>
      </w:r>
      <w:r>
        <w:t xml:space="preserve"> </w:t>
      </w:r>
      <w:r>
        <w:t xml:space="preserve">(or any woman who has given birth to more than one viable fetus); and 4) secundigravida, trigravida, and multigravida into</w:t>
      </w:r>
      <w:r>
        <w:t xml:space="preserve"> </w:t>
      </w:r>
      <w:r>
        <w:rPr>
          <w:rStyle w:val="VerbatimChar"/>
        </w:rPr>
        <w:t xml:space="preserve">multigravida</w:t>
      </w:r>
      <w:r>
        <w:t xml:space="preserve"> </w:t>
      </w:r>
      <w:r>
        <w:t xml:space="preserve">(or any woman who has been pregnant more than one but never given birth to a viable fetus).</w:t>
      </w:r>
    </w:p>
    <w:bookmarkEnd w:id="22"/>
    <w:bookmarkStart w:id="23" w:name="maternal-nationality"/>
    <w:p>
      <w:pPr>
        <w:pStyle w:val="Heading3"/>
      </w:pPr>
      <w:r>
        <w:t xml:space="preserve">2.3 Maternal Nationality</w:t>
      </w:r>
    </w:p>
    <w:p>
      <w:pPr>
        <w:pStyle w:val="FirstParagraph"/>
      </w:pPr>
      <w:r>
        <w:t xml:space="preserve">For maternal nationality, I created categories based on individual country (</w:t>
      </w:r>
      <w:r>
        <w:rPr>
          <w:rStyle w:val="VerbatimChar"/>
        </w:rPr>
        <w:t xml:space="preserve">nationality</w:t>
      </w:r>
      <w:r>
        <w:t xml:space="preserve">) and categories based on region (</w:t>
      </w:r>
      <w:r>
        <w:rPr>
          <w:rStyle w:val="VerbatimChar"/>
        </w:rPr>
        <w:t xml:space="preserve">modifiednationality</w:t>
      </w:r>
      <w:r>
        <w:t xml:space="preserve">). Recategorization occurred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w:t>
      </w:r>
    </w:p>
    <w:bookmarkEnd w:id="23"/>
    <w:bookmarkStart w:id="24" w:name="clinical-outcomes"/>
    <w:p>
      <w:pPr>
        <w:pStyle w:val="Heading3"/>
      </w:pPr>
      <w:r>
        <w:t xml:space="preserve">2.4 Clinical Outcomes</w:t>
      </w:r>
    </w:p>
    <w:p>
      <w:pPr>
        <w:pStyle w:val="FirstParagraph"/>
      </w:pPr>
      <w:r>
        <w:t xml:space="preserve">The clinical notes upon which I based this dataset only sporadically included infant demographic information for spontaneous abortions or stillbirths. For spontaneous abortions, stillbirths, and live births, I recorded, when available, infant sex, weight, length. I followed the original clinical categorizations for type of delivery in the following cases: natural, indicating minimal medical intervention; interventionist, indicating medium medical intervention through the use of forceps; and operatory, indicating a cesarean section or embryotomy. However, I recategorized external manipulations including version and Mauriceau (used during breech deliveries) (</w:t>
      </w:r>
      <w:r>
        <w:t xml:space="preserve">(3)</w:t>
      </w:r>
      <w:r>
        <w:t xml:space="preserve">), coded as operatory or natural by physicians, as interventionist. I classified clinical outcomes as spontaneous abortion, natural (normal delivery), interventionist (interventionist delivery), and operative (surgical delivery).</w:t>
      </w:r>
    </w:p>
    <w:bookmarkEnd w:id="24"/>
    <w:bookmarkEnd w:id="25"/>
    <w:bookmarkStart w:id="34" w:name="basic-statistical-analysis"/>
    <w:p>
      <w:pPr>
        <w:pStyle w:val="Heading2"/>
      </w:pPr>
      <w:r>
        <w:t xml:space="preserve">3 Basic Statistical Analysis</w:t>
      </w:r>
    </w:p>
    <w:p>
      <w:pPr>
        <w:pStyle w:val="FirstParagraph"/>
      </w:pPr>
      <w:r>
        <w:t xml:space="preserve">For the basic statistical analysis, I ran three linear models to understand the relationship between maternal factors and infant birth weight. The first model is a simple linear regression with outcome variable (birthweight in grams) and exposure variable maternal ancestry (</w:t>
      </w:r>
      <w:r>
        <w:rPr>
          <w:rStyle w:val="VerbatimChar"/>
        </w:rPr>
        <w:t xml:space="preserve">Euro-descent</w:t>
      </w:r>
      <w:r>
        <w:t xml:space="preserve"> </w:t>
      </w:r>
      <w:r>
        <w:t xml:space="preserve">or</w:t>
      </w:r>
      <w:r>
        <w:t xml:space="preserve"> </w:t>
      </w:r>
      <w:r>
        <w:rPr>
          <w:rStyle w:val="VerbatimChar"/>
        </w:rPr>
        <w:t xml:space="preserve">Afro-descent</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6" w:name="tbl-table2"/>
          <w:p>
            <w:pPr>
              <w:jc w:val="center"/>
            </w:pPr>
            <w:pPr>
              <w:jc w:val="start"/>
              <w:spacing w:before="200"/>
              <w:pStyle w:val="ImageCaption"/>
            </w:pPr>
            <w:r>
              <w:t xml:space="preserve">Table 1: Table 2</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p>
              </w:tc>
              <w:tc>
                <w:tcPr/>
                <w:p>
                  <w:pPr>
                    <w:pStyle w:val="Compact"/>
                    <w:jc w:val="center"/>
                    <w:jc w:val="center"/>
                  </w:pPr>
                  <w:r>
                    <w:rPr>
                      <w:bCs/>
                      <w:b/>
                    </w:rPr>
                    <w:t xml:space="preserve">SE</w:t>
                  </w:r>
                  <w:r>
                    <w:rPr>
                      <w:vertAlign w:val="superscript"/>
                    </w:rPr>
                    <w:t xml:space="preserve">1</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1</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3,171</w:t>
                  </w:r>
                </w:p>
              </w:tc>
              <w:tc>
                <w:tcPr/>
                <w:p>
                  <w:pPr>
                    <w:pStyle w:val="Compact"/>
                    <w:jc w:val="center"/>
                    <w:jc w:val="center"/>
                  </w:pPr>
                  <w:r>
                    <w:t xml:space="preserve">17.7</w:t>
                  </w:r>
                </w:p>
              </w:tc>
              <w:tc>
                <w:tcPr/>
                <w:p>
                  <w:pPr>
                    <w:pStyle w:val="Compact"/>
                    <w:jc w:val="center"/>
                    <w:jc w:val="center"/>
                  </w:pPr>
                  <w:r>
                    <w:t xml:space="preserve">179</w:t>
                  </w:r>
                </w:p>
              </w:tc>
              <w:tc>
                <w:tcPr/>
                <w:p>
                  <w:pPr>
                    <w:pStyle w:val="Compact"/>
                    <w:jc w:val="center"/>
                    <w:jc w:val="center"/>
                  </w:pPr>
                  <w:r>
                    <w:t xml:space="preserve">3,137, 3,206</w:t>
                  </w:r>
                </w:p>
              </w:tc>
              <w:tc>
                <w:tcPr/>
                <w:p>
                  <w:pPr>
                    <w:pStyle w:val="Compact"/>
                    <w:jc w:val="center"/>
                    <w:jc w:val="center"/>
                  </w:pPr>
                  <w:r>
                    <w:t xml:space="preserve">&lt;0.001</w:t>
                  </w:r>
                </w:p>
              </w:tc>
            </w:tr>
            <w:tr>
              <w:tc>
                <w:tcPr/>
                <w:p>
                  <w:pPr>
                    <w:pStyle w:val="Compact"/>
                    <w:jc w:val="left"/>
                    <w:jc w:val="center"/>
                  </w:pPr>
                  <w:r>
                    <w:t xml:space="preserve">ModifiedColor_Afro.Descent</w:t>
                  </w:r>
                </w:p>
              </w:tc>
              <w:tc>
                <w:tcPr/>
                <w:p>
                  <w:pPr>
                    <w:pStyle w:val="Compact"/>
                    <w:jc w:val="center"/>
                    <w:jc w:val="center"/>
                  </w:pPr>
                  <w:r>
                    <w:t xml:space="preserve">-88</w:t>
                  </w:r>
                </w:p>
              </w:tc>
              <w:tc>
                <w:tcPr/>
                <w:p>
                  <w:pPr>
                    <w:pStyle w:val="Compact"/>
                    <w:jc w:val="center"/>
                    <w:jc w:val="center"/>
                  </w:pPr>
                  <w:r>
                    <w:t xml:space="preserve">23.1</w:t>
                  </w:r>
                </w:p>
              </w:tc>
              <w:tc>
                <w:tcPr/>
                <w:p>
                  <w:pPr>
                    <w:pStyle w:val="Compact"/>
                    <w:jc w:val="center"/>
                    <w:jc w:val="center"/>
                  </w:pPr>
                  <w:r>
                    <w:t xml:space="preserve">-3.79</w:t>
                  </w:r>
                </w:p>
              </w:tc>
              <w:tc>
                <w:tcPr/>
                <w:p>
                  <w:pPr>
                    <w:pStyle w:val="Compact"/>
                    <w:jc w:val="center"/>
                    <w:jc w:val="center"/>
                  </w:pPr>
                  <w:r>
                    <w:t xml:space="preserve">-133, -42</w:t>
                  </w:r>
                </w:p>
              </w:tc>
              <w:tc>
                <w:tcPr/>
                <w:p>
                  <w:pPr>
                    <w:pStyle w:val="Compact"/>
                    <w:jc w:val="center"/>
                    <w:jc w:val="center"/>
                  </w:pPr>
                  <w:r>
                    <w:t xml:space="preserve">&lt;0.001</w:t>
                  </w:r>
                </w:p>
              </w:tc>
            </w:tr>
            <w:tr>
              <w:tc>
                <w:tcPr/>
                <w:p>
                  <w:pPr>
                    <w:pStyle w:val="Compact"/>
                    <w:jc w:val="left"/>
                    <w:jc w:val="center"/>
                  </w:pPr>
                  <w:r>
                    <w:t xml:space="preserve">R²</w:t>
                  </w:r>
                </w:p>
              </w:tc>
              <w:tc>
                <w:tcPr/>
                <w:p>
                  <w:pPr>
                    <w:pStyle w:val="Compact"/>
                    <w:jc w:val="center"/>
                    <w:jc w:val="center"/>
                  </w:pPr>
                  <w:r>
                    <w:t xml:space="preserve">0.007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0.007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SE = Standard Error, CI = Confidence Interval</w:t>
                  </w:r>
                </w:p>
              </w:tc>
            </w:tr>
          </w:tbl>
          <w:bookmarkEnd w:id="26"/>
          <w:p/>
        </w:tc>
      </w:tr>
    </w:tbl>
    <w:p>
      <w:pPr>
        <w:pStyle w:val="BodyText"/>
      </w:pPr>
      <w:r>
        <w:t xml:space="preserve">The second simple bivariate linear analysis, looks at infant birth weight as a function of maternal age.</w:t>
      </w:r>
    </w:p>
    <w:tbl>
      <w:tblPr>
        <w:tblStyle w:val="Table"/>
        <w:tblW w:type="pct" w:w="5000"/>
        <w:tblLook w:firstRow="0" w:lastRow="0" w:firstColumn="0" w:lastColumn="0" w:noHBand="0" w:noVBand="0" w:val="0000"/>
        <w:jc w:val="start"/>
        <w:tblLayout w:type="fixed"/>
      </w:tblPr>
      <w:tblGrid>
        <w:gridCol w:w="7920"/>
      </w:tblGrid>
      <w:tr>
        <w:tc>
          <w:tcPr/>
          <w:bookmarkStart w:id="27" w:name="tbl-table3"/>
          <w:p>
            <w:pPr>
              <w:jc w:val="center"/>
            </w:pPr>
            <w:pPr>
              <w:jc w:val="start"/>
              <w:spacing w:before="200"/>
              <w:pStyle w:val="ImageCaption"/>
            </w:pPr>
            <w:r>
              <w:t xml:space="preserve">Table 2: Table 3</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p>
              </w:tc>
              <w:tc>
                <w:tcPr/>
                <w:p>
                  <w:pPr>
                    <w:pStyle w:val="Compact"/>
                    <w:jc w:val="center"/>
                    <w:jc w:val="center"/>
                  </w:pPr>
                  <w:r>
                    <w:rPr>
                      <w:bCs/>
                      <w:b/>
                    </w:rPr>
                    <w:t xml:space="preserve">SE</w:t>
                  </w:r>
                  <w:r>
                    <w:rPr>
                      <w:vertAlign w:val="superscript"/>
                    </w:rPr>
                    <w:t xml:space="preserve">1</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1</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2,944</w:t>
                  </w:r>
                </w:p>
              </w:tc>
              <w:tc>
                <w:tcPr/>
                <w:p>
                  <w:pPr>
                    <w:pStyle w:val="Compact"/>
                    <w:jc w:val="center"/>
                    <w:jc w:val="center"/>
                  </w:pPr>
                  <w:r>
                    <w:t xml:space="preserve">52.0</w:t>
                  </w:r>
                </w:p>
              </w:tc>
              <w:tc>
                <w:tcPr/>
                <w:p>
                  <w:pPr>
                    <w:pStyle w:val="Compact"/>
                    <w:jc w:val="center"/>
                    <w:jc w:val="center"/>
                  </w:pPr>
                  <w:r>
                    <w:t xml:space="preserve">56.6</w:t>
                  </w:r>
                </w:p>
              </w:tc>
              <w:tc>
                <w:tcPr/>
                <w:p>
                  <w:pPr>
                    <w:pStyle w:val="Compact"/>
                    <w:jc w:val="center"/>
                    <w:jc w:val="center"/>
                  </w:pPr>
                  <w:r>
                    <w:t xml:space="preserve">2,842, 3,046</w:t>
                  </w:r>
                </w:p>
              </w:tc>
              <w:tc>
                <w:tcPr/>
                <w:p>
                  <w:pPr>
                    <w:pStyle w:val="Compact"/>
                    <w:jc w:val="center"/>
                    <w:jc w:val="center"/>
                  </w:pPr>
                  <w:r>
                    <w:t xml:space="preserve">&lt;0.001</w:t>
                  </w:r>
                </w:p>
              </w:tc>
            </w:tr>
            <w:tr>
              <w:tc>
                <w:tcPr/>
                <w:p>
                  <w:pPr>
                    <w:pStyle w:val="Compact"/>
                    <w:jc w:val="left"/>
                    <w:jc w:val="center"/>
                  </w:pPr>
                  <w:r>
                    <w:t xml:space="preserve">Age</w:t>
                  </w:r>
                </w:p>
              </w:tc>
              <w:tc>
                <w:tcPr/>
                <w:p>
                  <w:pPr>
                    <w:pStyle w:val="Compact"/>
                    <w:jc w:val="center"/>
                    <w:jc w:val="center"/>
                  </w:pPr>
                  <w:r>
                    <w:t xml:space="preserve">7.0</w:t>
                  </w:r>
                </w:p>
              </w:tc>
              <w:tc>
                <w:tcPr/>
                <w:p>
                  <w:pPr>
                    <w:pStyle w:val="Compact"/>
                    <w:jc w:val="center"/>
                    <w:jc w:val="center"/>
                  </w:pPr>
                  <w:r>
                    <w:t xml:space="preserve">2.01</w:t>
                  </w:r>
                </w:p>
              </w:tc>
              <w:tc>
                <w:tcPr/>
                <w:p>
                  <w:pPr>
                    <w:pStyle w:val="Compact"/>
                    <w:jc w:val="center"/>
                    <w:jc w:val="center"/>
                  </w:pPr>
                  <w:r>
                    <w:t xml:space="preserve">3.46</w:t>
                  </w:r>
                </w:p>
              </w:tc>
              <w:tc>
                <w:tcPr/>
                <w:p>
                  <w:pPr>
                    <w:pStyle w:val="Compact"/>
                    <w:jc w:val="center"/>
                    <w:jc w:val="center"/>
                  </w:pPr>
                  <w:r>
                    <w:t xml:space="preserve">3.0, 11</w:t>
                  </w:r>
                </w:p>
              </w:tc>
              <w:tc>
                <w:tcPr/>
                <w:p>
                  <w:pPr>
                    <w:pStyle w:val="Compact"/>
                    <w:jc w:val="center"/>
                    <w:jc w:val="center"/>
                  </w:pPr>
                  <w:r>
                    <w:t xml:space="preserve">&lt;0.001</w:t>
                  </w:r>
                </w:p>
              </w:tc>
            </w:tr>
            <w:tr>
              <w:tc>
                <w:tcPr/>
                <w:p>
                  <w:pPr>
                    <w:pStyle w:val="Compact"/>
                    <w:jc w:val="left"/>
                    <w:jc w:val="center"/>
                  </w:pPr>
                  <w:r>
                    <w:t xml:space="preserve">R²</w:t>
                  </w:r>
                </w:p>
              </w:tc>
              <w:tc>
                <w:tcPr/>
                <w:p>
                  <w:pPr>
                    <w:pStyle w:val="Compact"/>
                    <w:jc w:val="center"/>
                    <w:jc w:val="center"/>
                  </w:pPr>
                  <w:r>
                    <w:t xml:space="preserve">0.006</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0.006</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SE = Standard Error, CI = Confidence Interval</w:t>
                  </w:r>
                </w:p>
              </w:tc>
            </w:tr>
          </w:tbl>
          <w:bookmarkEnd w:id="27"/>
          <w:p/>
        </w:tc>
      </w:tr>
    </w:tbl>
    <w:p>
      <w:pPr>
        <w:pStyle w:val="BodyText"/>
      </w:pPr>
      <w:r>
        <w:t xml:space="preserve">The third and final exploratory statistical model is a multilinear regression, looking at the relationship of maternal skin color, age, nationality, and gestational status on infant birth weight.</w:t>
      </w:r>
    </w:p>
    <w:tbl>
      <w:tblPr>
        <w:tblStyle w:val="Table"/>
        <w:tblW w:type="pct" w:w="5000"/>
        <w:tblLook w:firstRow="0" w:lastRow="0" w:firstColumn="0" w:lastColumn="0" w:noHBand="0" w:noVBand="0" w:val="0000"/>
        <w:jc w:val="start"/>
        <w:tblLayout w:type="fixed"/>
      </w:tblPr>
      <w:tblGrid>
        <w:gridCol w:w="7920"/>
      </w:tblGrid>
      <w:tr>
        <w:tc>
          <w:tcPr/>
          <w:bookmarkStart w:id="28" w:name="tbl-table4"/>
          <w:p>
            <w:pPr>
              <w:jc w:val="center"/>
            </w:pPr>
            <w:pPr>
              <w:jc w:val="start"/>
              <w:spacing w:before="200"/>
              <w:pStyle w:val="ImageCaption"/>
            </w:pPr>
            <w:r>
              <w:t xml:space="preserve">Table 3: Table 4</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p>
              </w:tc>
              <w:tc>
                <w:tcPr/>
                <w:p>
                  <w:pPr>
                    <w:pStyle w:val="Compact"/>
                    <w:jc w:val="center"/>
                    <w:jc w:val="center"/>
                  </w:pPr>
                  <w:r>
                    <w:rPr>
                      <w:bCs/>
                      <w:b/>
                    </w:rPr>
                    <w:t xml:space="preserve">SE</w:t>
                  </w:r>
                  <w:r>
                    <w:rPr>
                      <w:vertAlign w:val="superscript"/>
                    </w:rPr>
                    <w:t xml:space="preserve">1</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1</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3,172</w:t>
                  </w:r>
                </w:p>
              </w:tc>
              <w:tc>
                <w:tcPr/>
                <w:p>
                  <w:pPr>
                    <w:pStyle w:val="Compact"/>
                    <w:jc w:val="center"/>
                    <w:jc w:val="center"/>
                  </w:pPr>
                  <w:r>
                    <w:t xml:space="preserve">71.4</w:t>
                  </w:r>
                </w:p>
              </w:tc>
              <w:tc>
                <w:tcPr/>
                <w:p>
                  <w:pPr>
                    <w:pStyle w:val="Compact"/>
                    <w:jc w:val="center"/>
                    <w:jc w:val="center"/>
                  </w:pPr>
                  <w:r>
                    <w:t xml:space="preserve">44.4</w:t>
                  </w:r>
                </w:p>
              </w:tc>
              <w:tc>
                <w:tcPr/>
                <w:p>
                  <w:pPr>
                    <w:pStyle w:val="Compact"/>
                    <w:jc w:val="center"/>
                    <w:jc w:val="center"/>
                  </w:pPr>
                  <w:r>
                    <w:t xml:space="preserve">3,032, 3,312</w:t>
                  </w:r>
                </w:p>
              </w:tc>
              <w:tc>
                <w:tcPr/>
                <w:p>
                  <w:pPr>
                    <w:pStyle w:val="Compact"/>
                    <w:jc w:val="center"/>
                    <w:jc w:val="center"/>
                  </w:pPr>
                  <w:r>
                    <w:t xml:space="preserve">&lt;0.001</w:t>
                  </w:r>
                </w:p>
              </w:tc>
            </w:tr>
            <w:tr>
              <w:tc>
                <w:tcPr/>
                <w:p>
                  <w:pPr>
                    <w:pStyle w:val="Compact"/>
                    <w:jc w:val="left"/>
                    <w:jc w:val="center"/>
                  </w:pPr>
                  <w:r>
                    <w:t xml:space="preserve">ModifiedColor</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    Euro-Descent</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br/>
                  </w:r>
                </w:p>
              </w:tc>
            </w:tr>
            <w:tr>
              <w:tc>
                <w:tcPr/>
                <w:p>
                  <w:pPr>
                    <w:pStyle w:val="Compact"/>
                    <w:jc w:val="left"/>
                    <w:jc w:val="center"/>
                  </w:pPr>
                  <w:r>
                    <w:t xml:space="preserve">    Afro-Descent</w:t>
                  </w:r>
                </w:p>
              </w:tc>
              <w:tc>
                <w:tcPr/>
                <w:p>
                  <w:pPr>
                    <w:pStyle w:val="Compact"/>
                    <w:jc w:val="center"/>
                    <w:jc w:val="center"/>
                  </w:pPr>
                  <w:r>
                    <w:t xml:space="preserve">-82</w:t>
                  </w:r>
                </w:p>
              </w:tc>
              <w:tc>
                <w:tcPr/>
                <w:p>
                  <w:pPr>
                    <w:pStyle w:val="Compact"/>
                    <w:jc w:val="center"/>
                    <w:jc w:val="center"/>
                  </w:pPr>
                  <w:r>
                    <w:t xml:space="preserve">27.1</w:t>
                  </w:r>
                </w:p>
              </w:tc>
              <w:tc>
                <w:tcPr/>
                <w:p>
                  <w:pPr>
                    <w:pStyle w:val="Compact"/>
                    <w:jc w:val="center"/>
                    <w:jc w:val="center"/>
                  </w:pPr>
                  <w:r>
                    <w:t xml:space="preserve">-3.01</w:t>
                  </w:r>
                </w:p>
              </w:tc>
              <w:tc>
                <w:tcPr/>
                <w:p>
                  <w:pPr>
                    <w:pStyle w:val="Compact"/>
                    <w:jc w:val="center"/>
                    <w:jc w:val="center"/>
                  </w:pPr>
                  <w:r>
                    <w:t xml:space="preserve">-135, -29</w:t>
                  </w:r>
                </w:p>
              </w:tc>
              <w:tc>
                <w:tcPr/>
                <w:p>
                  <w:pPr>
                    <w:pStyle w:val="Compact"/>
                    <w:jc w:val="center"/>
                    <w:jc w:val="center"/>
                  </w:pPr>
                  <w:r>
                    <w:t xml:space="preserve">0.003</w:t>
                  </w:r>
                </w:p>
              </w:tc>
            </w:tr>
            <w:tr>
              <w:tc>
                <w:tcPr/>
                <w:p>
                  <w:pPr>
                    <w:pStyle w:val="Compact"/>
                    <w:jc w:val="left"/>
                    <w:jc w:val="center"/>
                  </w:pPr>
                  <w:r>
                    <w:t xml:space="preserve">Age</w:t>
                  </w:r>
                </w:p>
              </w:tc>
              <w:tc>
                <w:tcPr/>
                <w:p>
                  <w:pPr>
                    <w:pStyle w:val="Compact"/>
                    <w:jc w:val="center"/>
                    <w:jc w:val="center"/>
                  </w:pPr>
                  <w:r>
                    <w:t xml:space="preserve">0.32</w:t>
                  </w:r>
                </w:p>
              </w:tc>
              <w:tc>
                <w:tcPr/>
                <w:p>
                  <w:pPr>
                    <w:pStyle w:val="Compact"/>
                    <w:jc w:val="center"/>
                    <w:jc w:val="center"/>
                  </w:pPr>
                  <w:r>
                    <w:t xml:space="preserve">2.30</w:t>
                  </w:r>
                </w:p>
              </w:tc>
              <w:tc>
                <w:tcPr/>
                <w:p>
                  <w:pPr>
                    <w:pStyle w:val="Compact"/>
                    <w:jc w:val="center"/>
                    <w:jc w:val="center"/>
                  </w:pPr>
                  <w:r>
                    <w:t xml:space="preserve">0.139</w:t>
                  </w:r>
                </w:p>
              </w:tc>
              <w:tc>
                <w:tcPr/>
                <w:p>
                  <w:pPr>
                    <w:pStyle w:val="Compact"/>
                    <w:jc w:val="center"/>
                    <w:jc w:val="center"/>
                  </w:pPr>
                  <w:r>
                    <w:t xml:space="preserve">-4.2, 4.8</w:t>
                  </w:r>
                </w:p>
              </w:tc>
              <w:tc>
                <w:tcPr/>
                <w:p>
                  <w:pPr>
                    <w:pStyle w:val="Compact"/>
                    <w:jc w:val="center"/>
                    <w:jc w:val="center"/>
                  </w:pPr>
                  <w:r>
                    <w:t xml:space="preserve">0.9</w:t>
                  </w:r>
                </w:p>
              </w:tc>
            </w:tr>
            <w:tr>
              <w:tc>
                <w:tcPr/>
                <w:p>
                  <w:pPr>
                    <w:pStyle w:val="Compact"/>
                    <w:jc w:val="left"/>
                    <w:jc w:val="center"/>
                  </w:pPr>
                  <w:r>
                    <w:t xml:space="preserve">ModifiedStatus</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    Multigravida</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br/>
                  </w:r>
                </w:p>
              </w:tc>
            </w:tr>
            <w:tr>
              <w:tc>
                <w:tcPr/>
                <w:p>
                  <w:pPr>
                    <w:pStyle w:val="Compact"/>
                    <w:jc w:val="left"/>
                    <w:jc w:val="center"/>
                  </w:pPr>
                  <w:r>
                    <w:t xml:space="preserve">    Multipara</w:t>
                  </w:r>
                </w:p>
              </w:tc>
              <w:tc>
                <w:tcPr/>
                <w:p>
                  <w:pPr>
                    <w:pStyle w:val="Compact"/>
                    <w:jc w:val="center"/>
                    <w:jc w:val="center"/>
                  </w:pPr>
                  <w:r>
                    <w:t xml:space="preserve">80</w:t>
                  </w:r>
                </w:p>
              </w:tc>
              <w:tc>
                <w:tcPr/>
                <w:p>
                  <w:pPr>
                    <w:pStyle w:val="Compact"/>
                    <w:jc w:val="center"/>
                    <w:jc w:val="center"/>
                  </w:pPr>
                  <w:r>
                    <w:t xml:space="preserve">30.7</w:t>
                  </w:r>
                </w:p>
              </w:tc>
              <w:tc>
                <w:tcPr/>
                <w:p>
                  <w:pPr>
                    <w:pStyle w:val="Compact"/>
                    <w:jc w:val="center"/>
                    <w:jc w:val="center"/>
                  </w:pPr>
                  <w:r>
                    <w:t xml:space="preserve">2.59</w:t>
                  </w:r>
                </w:p>
              </w:tc>
              <w:tc>
                <w:tcPr/>
                <w:p>
                  <w:pPr>
                    <w:pStyle w:val="Compact"/>
                    <w:jc w:val="center"/>
                    <w:jc w:val="center"/>
                  </w:pPr>
                  <w:r>
                    <w:t xml:space="preserve">19, 140</w:t>
                  </w:r>
                </w:p>
              </w:tc>
              <w:tc>
                <w:tcPr/>
                <w:p>
                  <w:pPr>
                    <w:pStyle w:val="Compact"/>
                    <w:jc w:val="center"/>
                    <w:jc w:val="center"/>
                  </w:pPr>
                  <w:r>
                    <w:t xml:space="preserve">0.010</w:t>
                  </w:r>
                </w:p>
              </w:tc>
            </w:tr>
            <w:tr>
              <w:tc>
                <w:tcPr/>
                <w:p>
                  <w:pPr>
                    <w:pStyle w:val="Compact"/>
                    <w:jc w:val="left"/>
                    <w:jc w:val="center"/>
                  </w:pPr>
                  <w:r>
                    <w:t xml:space="preserve">    Nullipara</w:t>
                  </w:r>
                </w:p>
              </w:tc>
              <w:tc>
                <w:tcPr/>
                <w:p>
                  <w:pPr>
                    <w:pStyle w:val="Compact"/>
                    <w:jc w:val="center"/>
                    <w:jc w:val="center"/>
                  </w:pPr>
                  <w:r>
                    <w:t xml:space="preserve">-79</w:t>
                  </w:r>
                </w:p>
              </w:tc>
              <w:tc>
                <w:tcPr/>
                <w:p>
                  <w:pPr>
                    <w:pStyle w:val="Compact"/>
                    <w:jc w:val="center"/>
                    <w:jc w:val="center"/>
                  </w:pPr>
                  <w:r>
                    <w:t xml:space="preserve">30.0</w:t>
                  </w:r>
                </w:p>
              </w:tc>
              <w:tc>
                <w:tcPr/>
                <w:p>
                  <w:pPr>
                    <w:pStyle w:val="Compact"/>
                    <w:jc w:val="center"/>
                    <w:jc w:val="center"/>
                  </w:pPr>
                  <w:r>
                    <w:t xml:space="preserve">-2.63</w:t>
                  </w:r>
                </w:p>
              </w:tc>
              <w:tc>
                <w:tcPr/>
                <w:p>
                  <w:pPr>
                    <w:pStyle w:val="Compact"/>
                    <w:jc w:val="center"/>
                    <w:jc w:val="center"/>
                  </w:pPr>
                  <w:r>
                    <w:t xml:space="preserve">-138, -20</w:t>
                  </w:r>
                </w:p>
              </w:tc>
              <w:tc>
                <w:tcPr/>
                <w:p>
                  <w:pPr>
                    <w:pStyle w:val="Compact"/>
                    <w:jc w:val="center"/>
                    <w:jc w:val="center"/>
                  </w:pPr>
                  <w:r>
                    <w:t xml:space="preserve">0.009</w:t>
                  </w:r>
                </w:p>
              </w:tc>
            </w:tr>
            <w:tr>
              <w:tc>
                <w:tcPr/>
                <w:p>
                  <w:pPr>
                    <w:pStyle w:val="Compact"/>
                    <w:jc w:val="left"/>
                    <w:jc w:val="center"/>
                  </w:pPr>
                  <w:r>
                    <w:t xml:space="preserve">    Primipara</w:t>
                  </w:r>
                </w:p>
              </w:tc>
              <w:tc>
                <w:tcPr/>
                <w:p>
                  <w:pPr>
                    <w:pStyle w:val="Compact"/>
                    <w:jc w:val="center"/>
                    <w:jc w:val="center"/>
                  </w:pPr>
                  <w:r>
                    <w:t xml:space="preserve">-20</w:t>
                  </w:r>
                </w:p>
              </w:tc>
              <w:tc>
                <w:tcPr/>
                <w:p>
                  <w:pPr>
                    <w:pStyle w:val="Compact"/>
                    <w:jc w:val="center"/>
                    <w:jc w:val="center"/>
                  </w:pPr>
                  <w:r>
                    <w:t xml:space="preserve">76.5</w:t>
                  </w:r>
                </w:p>
              </w:tc>
              <w:tc>
                <w:tcPr/>
                <w:p>
                  <w:pPr>
                    <w:pStyle w:val="Compact"/>
                    <w:jc w:val="center"/>
                    <w:jc w:val="center"/>
                  </w:pPr>
                  <w:r>
                    <w:t xml:space="preserve">-0.263</w:t>
                  </w:r>
                </w:p>
              </w:tc>
              <w:tc>
                <w:tcPr/>
                <w:p>
                  <w:pPr>
                    <w:pStyle w:val="Compact"/>
                    <w:jc w:val="center"/>
                    <w:jc w:val="center"/>
                  </w:pPr>
                  <w:r>
                    <w:t xml:space="preserve">-170, 130</w:t>
                  </w:r>
                </w:p>
              </w:tc>
              <w:tc>
                <w:tcPr/>
                <w:p>
                  <w:pPr>
                    <w:pStyle w:val="Compact"/>
                    <w:jc w:val="center"/>
                    <w:jc w:val="center"/>
                  </w:pPr>
                  <w:r>
                    <w:t xml:space="preserve">0.8</w:t>
                  </w:r>
                </w:p>
              </w:tc>
            </w:tr>
            <w:tr>
              <w:tc>
                <w:tcPr/>
                <w:p>
                  <w:pPr>
                    <w:pStyle w:val="Compact"/>
                    <w:jc w:val="left"/>
                    <w:jc w:val="center"/>
                  </w:pPr>
                  <w:r>
                    <w:t xml:space="preserve">ModifiedNationality</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    European</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br/>
                  </w:r>
                </w:p>
              </w:tc>
            </w:tr>
            <w:tr>
              <w:tc>
                <w:tcPr/>
                <w:p>
                  <w:pPr>
                    <w:pStyle w:val="Compact"/>
                    <w:jc w:val="left"/>
                    <w:jc w:val="center"/>
                  </w:pPr>
                  <w:r>
                    <w:t xml:space="preserve">    Latin American</w:t>
                  </w:r>
                </w:p>
              </w:tc>
              <w:tc>
                <w:tcPr/>
                <w:p>
                  <w:pPr>
                    <w:pStyle w:val="Compact"/>
                    <w:jc w:val="center"/>
                    <w:jc w:val="center"/>
                  </w:pPr>
                  <w:r>
                    <w:t xml:space="preserve">86</w:t>
                  </w:r>
                </w:p>
              </w:tc>
              <w:tc>
                <w:tcPr/>
                <w:p>
                  <w:pPr>
                    <w:pStyle w:val="Compact"/>
                    <w:jc w:val="center"/>
                    <w:jc w:val="center"/>
                  </w:pPr>
                  <w:r>
                    <w:t xml:space="preserve">169</w:t>
                  </w:r>
                </w:p>
              </w:tc>
              <w:tc>
                <w:tcPr/>
                <w:p>
                  <w:pPr>
                    <w:pStyle w:val="Compact"/>
                    <w:jc w:val="center"/>
                    <w:jc w:val="center"/>
                  </w:pPr>
                  <w:r>
                    <w:t xml:space="preserve">0.512</w:t>
                  </w:r>
                </w:p>
              </w:tc>
              <w:tc>
                <w:tcPr/>
                <w:p>
                  <w:pPr>
                    <w:pStyle w:val="Compact"/>
                    <w:jc w:val="center"/>
                    <w:jc w:val="center"/>
                  </w:pPr>
                  <w:r>
                    <w:t xml:space="preserve">-244, 417</w:t>
                  </w:r>
                </w:p>
              </w:tc>
              <w:tc>
                <w:tcPr/>
                <w:p>
                  <w:pPr>
                    <w:pStyle w:val="Compact"/>
                    <w:jc w:val="center"/>
                    <w:jc w:val="center"/>
                  </w:pPr>
                  <w:r>
                    <w:t xml:space="preserve">0.6</w:t>
                  </w:r>
                </w:p>
              </w:tc>
            </w:tr>
            <w:tr>
              <w:tc>
                <w:tcPr/>
                <w:p>
                  <w:pPr>
                    <w:pStyle w:val="Compact"/>
                    <w:jc w:val="left"/>
                    <w:jc w:val="center"/>
                  </w:pPr>
                  <w:r>
                    <w:t xml:space="preserve">    Middle Eastern</w:t>
                  </w:r>
                </w:p>
              </w:tc>
              <w:tc>
                <w:tcPr/>
                <w:p>
                  <w:pPr>
                    <w:pStyle w:val="Compact"/>
                    <w:jc w:val="center"/>
                    <w:jc w:val="center"/>
                  </w:pPr>
                  <w:r>
                    <w:t xml:space="preserve">498</w:t>
                  </w:r>
                </w:p>
              </w:tc>
              <w:tc>
                <w:tcPr/>
                <w:p>
                  <w:pPr>
                    <w:pStyle w:val="Compact"/>
                    <w:jc w:val="center"/>
                    <w:jc w:val="center"/>
                  </w:pPr>
                  <w:r>
                    <w:t xml:space="preserve">499</w:t>
                  </w:r>
                </w:p>
              </w:tc>
              <w:tc>
                <w:tcPr/>
                <w:p>
                  <w:pPr>
                    <w:pStyle w:val="Compact"/>
                    <w:jc w:val="center"/>
                    <w:jc w:val="center"/>
                  </w:pPr>
                  <w:r>
                    <w:t xml:space="preserve">0.998</w:t>
                  </w:r>
                </w:p>
              </w:tc>
              <w:tc>
                <w:tcPr/>
                <w:p>
                  <w:pPr>
                    <w:pStyle w:val="Compact"/>
                    <w:jc w:val="center"/>
                    <w:jc w:val="center"/>
                  </w:pPr>
                  <w:r>
                    <w:t xml:space="preserve">-481, 1,478</w:t>
                  </w:r>
                </w:p>
              </w:tc>
              <w:tc>
                <w:tcPr/>
                <w:p>
                  <w:pPr>
                    <w:pStyle w:val="Compact"/>
                    <w:jc w:val="center"/>
                    <w:jc w:val="center"/>
                  </w:pPr>
                  <w:r>
                    <w:t xml:space="preserve">0.3</w:t>
                  </w:r>
                </w:p>
              </w:tc>
            </w:tr>
            <w:tr>
              <w:tc>
                <w:tcPr/>
                <w:p>
                  <w:pPr>
                    <w:pStyle w:val="Compact"/>
                    <w:jc w:val="left"/>
                    <w:jc w:val="center"/>
                  </w:pPr>
                  <w:r>
                    <w:t xml:space="preserve">    Brazilian</w:t>
                  </w:r>
                </w:p>
              </w:tc>
              <w:tc>
                <w:tcPr/>
                <w:p>
                  <w:pPr>
                    <w:pStyle w:val="Compact"/>
                    <w:jc w:val="center"/>
                    <w:jc w:val="center"/>
                  </w:pPr>
                  <w:r>
                    <w:t xml:space="preserve">-13</w:t>
                  </w:r>
                </w:p>
              </w:tc>
              <w:tc>
                <w:tcPr/>
                <w:p>
                  <w:pPr>
                    <w:pStyle w:val="Compact"/>
                    <w:jc w:val="center"/>
                    <w:jc w:val="center"/>
                  </w:pPr>
                  <w:r>
                    <w:t xml:space="preserve">36.6</w:t>
                  </w:r>
                </w:p>
              </w:tc>
              <w:tc>
                <w:tcPr/>
                <w:p>
                  <w:pPr>
                    <w:pStyle w:val="Compact"/>
                    <w:jc w:val="center"/>
                    <w:jc w:val="center"/>
                  </w:pPr>
                  <w:r>
                    <w:t xml:space="preserve">-0.347</w:t>
                  </w:r>
                </w:p>
              </w:tc>
              <w:tc>
                <w:tcPr/>
                <w:p>
                  <w:pPr>
                    <w:pStyle w:val="Compact"/>
                    <w:jc w:val="center"/>
                    <w:jc w:val="center"/>
                  </w:pPr>
                  <w:r>
                    <w:t xml:space="preserve">-84, 59</w:t>
                  </w:r>
                </w:p>
              </w:tc>
              <w:tc>
                <w:tcPr/>
                <w:p>
                  <w:pPr>
                    <w:pStyle w:val="Compact"/>
                    <w:jc w:val="center"/>
                    <w:jc w:val="center"/>
                  </w:pPr>
                  <w:r>
                    <w:t xml:space="preserve">0.7</w:t>
                  </w:r>
                </w:p>
              </w:tc>
            </w:tr>
            <w:tr>
              <w:tc>
                <w:tcPr/>
                <w:p>
                  <w:pPr>
                    <w:pStyle w:val="Compact"/>
                    <w:jc w:val="left"/>
                    <w:jc w:val="center"/>
                  </w:pPr>
                  <w:r>
                    <w:t xml:space="preserve">R²</w:t>
                  </w:r>
                </w:p>
              </w:tc>
              <w:tc>
                <w:tcPr/>
                <w:p>
                  <w:pPr>
                    <w:pStyle w:val="Compact"/>
                    <w:jc w:val="center"/>
                    <w:jc w:val="center"/>
                  </w:pPr>
                  <w:r>
                    <w:t xml:space="preserve">0.027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0.023</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SE = Standard Error, CI = Confidence Interval</w:t>
                  </w:r>
                </w:p>
              </w:tc>
            </w:tr>
          </w:tbl>
          <w:bookmarkEnd w:id="28"/>
          <w:p/>
        </w:tc>
      </w:tr>
    </w:tbl>
    <w:p>
      <w:pPr>
        <w:pStyle w:val="BodyText"/>
      </w:pPr>
      <w:r>
        <w:t xml:space="preserve">In the first and third models, there appears to be an association between maternal skin color and infant birth weight, with Euro-descended women (the reference group) having infants with higher birth weights than Afro-descended women. In the second model, older mothers are associated with giving birth to infants with higher birth weights.</w:t>
      </w:r>
    </w:p>
    <w:p>
      <w:pPr>
        <w:pStyle w:val="BodyText"/>
      </w:pPr>
      <w:r>
        <w:t xml:space="preserve">For all three models, the r-squared is very small (0.0073, 0.0061, and 0.027), indicating that the model does not explain much of the variance in birth weight. This is likely due to the fact that birth weight is a complex trait influenced by many factors, including genetic, environmental, and social factors.</w:t>
      </w:r>
    </w:p>
    <w:bookmarkStart w:id="33" w:name="refs"/>
    <w:bookmarkStart w:id="29" w:name="ref-roth2020"/>
    <w:p>
      <w:pPr>
        <w:pStyle w:val="Bibliography"/>
      </w:pPr>
      <w:r>
        <w:t xml:space="preserve">1.</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29"/>
    <w:bookmarkStart w:id="30" w:name="ref-roth2020a"/>
    <w:p>
      <w:pPr>
        <w:pStyle w:val="Bibliography"/>
      </w:pPr>
      <w:r>
        <w:t xml:space="preserve">2.</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30"/>
    <w:bookmarkStart w:id="32" w:name="ref-eyraud1997"/>
    <w:p>
      <w:pPr>
        <w:pStyle w:val="Bibliography"/>
      </w:pPr>
      <w:r>
        <w:t xml:space="preserve">3.</w:t>
      </w:r>
      <w:r>
        <w:t xml:space="preserve"> </w:t>
      </w:r>
      <w:r>
        <w:t xml:space="preserve">	</w:t>
      </w:r>
      <w:r>
        <w:t xml:space="preserve">Eyraud JL, Riethmuller D, Clainquart N, Schaal JP, Maillet R, Colette C.</w:t>
      </w:r>
      <w:r>
        <w:t xml:space="preserve"> </w:t>
      </w:r>
      <w:hyperlink r:id="rId31">
        <w:r>
          <w:rPr>
            <w:rStyle w:val="Hyperlink"/>
          </w:rPr>
          <w:t xml:space="preserve">Is the Mauriceau maneuver deleterious? Study of 103 cases</w:t>
        </w:r>
      </w:hyperlink>
      <w:r>
        <w:t xml:space="preserve">. Journal De Gynecologie, Obstetrique Et Biologie De La Reproduction. 1997;26(4):413–7.</w:t>
      </w:r>
      <w:r>
        <w:t xml:space="preserve"> </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ncbi.nlm.nih.gov/pubmed/9265067" TargetMode="External" /></Relationships>
</file>

<file path=word/_rels/footnotes.xml.rels><?xml version="1.0" encoding="UTF-8"?><Relationships xmlns="http://schemas.openxmlformats.org/package/2006/relationships"><Relationship Type="http://schemas.openxmlformats.org/officeDocument/2006/relationships/hyperlink" Id="rId31" Target="https://www.ncbi.nlm.nih.gov/pubmed/9265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Cassia Roth</dc:creator>
  <cp:keywords/>
  <dcterms:created xsi:type="dcterms:W3CDTF">2024-04-04T19:02:21Z</dcterms:created>
  <dcterms:modified xsi:type="dcterms:W3CDTF">2024-04-04T19:02:21Z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2024-04-04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