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64748B"/>
          <w:sz w:val="17"/>
        </w:rPr>
        <w:t>GOBIERNO REGIONAL DE CAJAMARCA — CIAT / INAIGEM / UNC</w:t>
        <w:br/>
        <w:t>GEMELO DIGITAL DE TURBERAS ALTOANDINAS</w:t>
      </w:r>
    </w:p>
    <w:p>
      <w:r>
        <w:rPr>
          <w:b/>
          <w:color w:val="10B981"/>
          <w:sz w:val="40"/>
        </w:rPr>
        <w:t>Informe Científico y Validación Metodológica CRISP-DM</w:t>
      </w:r>
    </w:p>
    <w:p>
      <w:r>
        <w:rPr>
          <w:color w:val="475569"/>
          <w:sz w:val="22"/>
        </w:rPr>
        <w:t>Modelo Ganador Publicado: XGBoost | Fecha: 2026-10-26 17:17</w:t>
      </w:r>
    </w:p>
    <w:p>
      <w:r>
        <w:t>———————————————————————————————————————————————————————</w:t>
      </w:r>
    </w:p>
    <w:p>
      <w:pPr>
        <w:pStyle w:val="Heading1"/>
      </w:pPr>
      <w:r>
        <w:t>1. Métricas de Rendimiento del Modelo Publicado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FFFFFF"/>
              </w:rPr>
              <w:t>Métrica Científica</w:t>
            </w:r>
          </w:p>
        </w:tc>
        <w:tc>
          <w:tcPr>
            <w:tcW w:type="dxa" w:w="2160"/>
          </w:tcPr>
          <w:p>
            <w:r>
              <w:rPr>
                <w:b/>
                <w:color w:val="FFFFFF"/>
              </w:rPr>
              <w:t>Valor Obtenido</w:t>
            </w:r>
          </w:p>
        </w:tc>
        <w:tc>
          <w:tcPr>
            <w:tcW w:type="dxa" w:w="2160"/>
          </w:tcPr>
          <w:p>
            <w:r>
              <w:rPr>
                <w:b/>
                <w:color w:val="FFFFFF"/>
              </w:rPr>
              <w:t>Objetivo / Referencia</w:t>
            </w:r>
          </w:p>
        </w:tc>
        <w:tc>
          <w:tcPr>
            <w:tcW w:type="dxa" w:w="2160"/>
          </w:tcPr>
          <w:p>
            <w:r>
              <w:rPr>
                <w:b/>
                <w:color w:val="FFFFFF"/>
              </w:rPr>
              <w:t>Estado de Validación</w:t>
            </w:r>
          </w:p>
        </w:tc>
      </w:tr>
      <w:tr>
        <w:tc>
          <w:tcPr>
            <w:tcW w:type="dxa" w:w="2160"/>
          </w:tcPr>
          <w:p>
            <w:r>
              <w:t>R² Regresión Real</w:t>
            </w:r>
          </w:p>
        </w:tc>
        <w:tc>
          <w:tcPr>
            <w:tcW w:type="dxa" w:w="2160"/>
          </w:tcPr>
          <w:p>
            <w:r>
              <w:t>0.9443</w:t>
            </w:r>
          </w:p>
        </w:tc>
        <w:tc>
          <w:tcPr>
            <w:tcW w:type="dxa" w:w="2160"/>
          </w:tcPr>
          <w:p>
            <w:r>
              <w:t>&gt; 0.85 (Estándar Q1)</w:t>
            </w:r>
          </w:p>
        </w:tc>
        <w:tc>
          <w:tcPr>
            <w:tcW w:type="dxa" w:w="2160"/>
          </w:tcPr>
          <w:p>
            <w:r>
              <w:t>Aprobado (Excelente)</w:t>
            </w:r>
          </w:p>
        </w:tc>
      </w:tr>
      <w:tr>
        <w:tc>
          <w:tcPr>
            <w:tcW w:type="dxa" w:w="2160"/>
          </w:tcPr>
          <w:p>
            <w:r>
              <w:t>Error Absoluto Medio (MAE)</w:t>
            </w:r>
          </w:p>
        </w:tc>
        <w:tc>
          <w:tcPr>
            <w:tcW w:type="dxa" w:w="2160"/>
          </w:tcPr>
          <w:p>
            <w:r>
              <w:t>1.0209 t CO₂eq/ha/año</w:t>
            </w:r>
          </w:p>
        </w:tc>
        <w:tc>
          <w:tcPr>
            <w:tcW w:type="dxa" w:w="2160"/>
          </w:tcPr>
          <w:p>
            <w:r>
              <w:t>&lt; 1.50 t/ha/año</w:t>
            </w:r>
          </w:p>
        </w:tc>
        <w:tc>
          <w:tcPr>
            <w:tcW w:type="dxa" w:w="2160"/>
          </w:tcPr>
          <w:p>
            <w:r>
              <w:t>Aprobado</w:t>
            </w:r>
          </w:p>
        </w:tc>
      </w:tr>
      <w:tr>
        <w:tc>
          <w:tcPr>
            <w:tcW w:type="dxa" w:w="2160"/>
          </w:tcPr>
          <w:p>
            <w:r>
              <w:t>F1-Score (10-Fold CV)</w:t>
            </w:r>
          </w:p>
        </w:tc>
        <w:tc>
          <w:tcPr>
            <w:tcW w:type="dxa" w:w="2160"/>
          </w:tcPr>
          <w:p>
            <w:r>
              <w:t>0.7348</w:t>
            </w:r>
          </w:p>
        </w:tc>
        <w:tc>
          <w:tcPr>
            <w:tcW w:type="dxa" w:w="2160"/>
          </w:tcPr>
          <w:p>
            <w:r>
              <w:t>&gt; 0.70</w:t>
            </w:r>
          </w:p>
        </w:tc>
        <w:tc>
          <w:tcPr>
            <w:tcW w:type="dxa" w:w="2160"/>
          </w:tcPr>
          <w:p>
            <w:r>
              <w:t>Aprobado</w:t>
            </w:r>
          </w:p>
        </w:tc>
      </w:tr>
      <w:tr>
        <w:tc>
          <w:tcPr>
            <w:tcW w:type="dxa" w:w="2160"/>
          </w:tcPr>
          <w:p>
            <w:r>
              <w:t>ROC-AUC Score</w:t>
            </w:r>
          </w:p>
        </w:tc>
        <w:tc>
          <w:tcPr>
            <w:tcW w:type="dxa" w:w="2160"/>
          </w:tcPr>
          <w:p>
            <w:r>
              <w:t>0.9626</w:t>
            </w:r>
          </w:p>
        </w:tc>
        <w:tc>
          <w:tcPr>
            <w:tcW w:type="dxa" w:w="2160"/>
          </w:tcPr>
          <w:p>
            <w:r>
              <w:t>&gt; 0.90</w:t>
            </w:r>
          </w:p>
        </w:tc>
        <w:tc>
          <w:tcPr>
            <w:tcW w:type="dxa" w:w="2160"/>
          </w:tcPr>
          <w:p>
            <w:r>
              <w:t>Aprobado (Sobresaliente)</w:t>
            </w:r>
          </w:p>
        </w:tc>
      </w:tr>
      <w:tr>
        <w:tc>
          <w:tcPr>
            <w:tcW w:type="dxa" w:w="2160"/>
          </w:tcPr>
          <w:p>
            <w:r>
              <w:t>Brier Score Calibrado</w:t>
            </w:r>
          </w:p>
        </w:tc>
        <w:tc>
          <w:tcPr>
            <w:tcW w:type="dxa" w:w="2160"/>
          </w:tcPr>
          <w:p>
            <w:r>
              <w:t>0.0012</w:t>
            </w:r>
          </w:p>
        </w:tc>
        <w:tc>
          <w:tcPr>
            <w:tcW w:type="dxa" w:w="2160"/>
          </w:tcPr>
          <w:p>
            <w:r>
              <w:t>&lt; 0.05</w:t>
            </w:r>
          </w:p>
        </w:tc>
        <w:tc>
          <w:tcPr>
            <w:tcW w:type="dxa" w:w="2160"/>
          </w:tcPr>
          <w:p>
            <w:r>
              <w:t>Aprobado (Calibrado)</w:t>
            </w:r>
          </w:p>
        </w:tc>
      </w:tr>
    </w:tbl>
    <w:p>
      <w:r>
        <w:rPr>
          <w:b/>
          <w:color w:val="10B981"/>
        </w:rPr>
        <w:br/>
        <w:t>Interpretabilidad y operabilidad — Tabla 1:</w:t>
      </w:r>
    </w:p>
    <w:p>
      <w:r>
        <w:t>• ¿Qué contiene esta tabla?: Indicadores cuantitativos de desempeño del modelo seleccionado en las fases de regresión del flujo neto y clasificación de impacto biofísico.</w:t>
        <w:br/>
        <w:t>• ¿Cómo se interpreta?: Un R² de 0.9443 indica que el modelo explica el 94.43% de la varianza en el balance neto de carbono. El error absoluto medio MAE de 1.0209 t/ha/año sitúa la incertidumbre dentro de los márgenes aceptados por el IPCC Tier 2.</w:t>
        <w:br/>
        <w:t>• Hallazgos principales: El modelo no presenta sobreajuste; la calibración mediante Platt Scaling reduce el Brier Score a 0.0012, otorgando probabilidades bien fundamentadas.</w:t>
        <w:br/>
        <w:t>• Consideraciones y limitaciones: Las inferencias son válidas para la microcuenca Chirimayo en el rango de profundidades freáticas (-50 cm a 0 cm) y condiciones estacionales observadas.</w:t>
        <w:br/>
        <w:t>• Cómo utilizar esta tabla: Permite auditar las métricas para inclusión en manuscritos de investigación, reportes de servicios ecosistémicos MERESE o transferir parámetros a modelos hidrológicos SWAT.</w:t>
      </w:r>
    </w:p>
    <w:p/>
    <w:p>
      <w:pPr>
        <w:pStyle w:val="Heading1"/>
      </w:pPr>
      <w:r>
        <w:t>2. Ranking Multicriterio de los 5 Modelos Evaluados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Posición / Modelo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Composite Scientific Score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Evaluación Estadística</w:t>
            </w:r>
          </w:p>
        </w:tc>
      </w:tr>
      <w:tr>
        <w:tc>
          <w:tcPr>
            <w:tcW w:type="dxa" w:w="2880"/>
          </w:tcPr>
          <w:p>
            <w:r>
              <w:t>XGBoost</w:t>
            </w:r>
          </w:p>
        </w:tc>
        <w:tc>
          <w:tcPr>
            <w:tcW w:type="dxa" w:w="2880"/>
          </w:tcPr>
          <w:p>
            <w:r>
              <w:t>0.7593</w:t>
            </w:r>
          </w:p>
        </w:tc>
        <w:tc>
          <w:tcPr>
            <w:tcW w:type="dxa" w:w="2880"/>
          </w:tcPr>
          <w:p>
            <w:r>
              <w:t>Evaluado en 10-Fold CV sin Data Leakage</w:t>
            </w:r>
          </w:p>
        </w:tc>
      </w:tr>
      <w:tr>
        <w:tc>
          <w:tcPr>
            <w:tcW w:type="dxa" w:w="2880"/>
          </w:tcPr>
          <w:p>
            <w:r>
              <w:t>Random Forest</w:t>
            </w:r>
          </w:p>
        </w:tc>
        <w:tc>
          <w:tcPr>
            <w:tcW w:type="dxa" w:w="2880"/>
          </w:tcPr>
          <w:p>
            <w:r>
              <w:t>0.7543</w:t>
            </w:r>
          </w:p>
        </w:tc>
        <w:tc>
          <w:tcPr>
            <w:tcW w:type="dxa" w:w="2880"/>
          </w:tcPr>
          <w:p>
            <w:r>
              <w:t>Evaluado en 10-Fold CV sin Data Leakage</w:t>
            </w:r>
          </w:p>
        </w:tc>
      </w:tr>
      <w:tr>
        <w:tc>
          <w:tcPr>
            <w:tcW w:type="dxa" w:w="2880"/>
          </w:tcPr>
          <w:p>
            <w:r>
              <w:t>SVM</w:t>
            </w:r>
          </w:p>
        </w:tc>
        <w:tc>
          <w:tcPr>
            <w:tcW w:type="dxa" w:w="2880"/>
          </w:tcPr>
          <w:p>
            <w:r>
              <w:t>0.7273</w:t>
            </w:r>
          </w:p>
        </w:tc>
        <w:tc>
          <w:tcPr>
            <w:tcW w:type="dxa" w:w="2880"/>
          </w:tcPr>
          <w:p>
            <w:r>
              <w:t>Evaluado en 10-Fold CV sin Data Leakage</w:t>
            </w:r>
          </w:p>
        </w:tc>
      </w:tr>
      <w:tr>
        <w:tc>
          <w:tcPr>
            <w:tcW w:type="dxa" w:w="2880"/>
          </w:tcPr>
          <w:p>
            <w:r>
              <w:t>Random Forest + MLP (Híbrido)</w:t>
            </w:r>
          </w:p>
        </w:tc>
        <w:tc>
          <w:tcPr>
            <w:tcW w:type="dxa" w:w="2880"/>
          </w:tcPr>
          <w:p>
            <w:r>
              <w:t>0.6578</w:t>
            </w:r>
          </w:p>
        </w:tc>
        <w:tc>
          <w:tcPr>
            <w:tcW w:type="dxa" w:w="2880"/>
          </w:tcPr>
          <w:p>
            <w:r>
              <w:t>Evaluado en 10-Fold CV sin Data Leakage</w:t>
            </w:r>
          </w:p>
        </w:tc>
      </w:tr>
      <w:tr>
        <w:tc>
          <w:tcPr>
            <w:tcW w:type="dxa" w:w="2880"/>
          </w:tcPr>
          <w:p>
            <w:r>
              <w:t>SVM + MLP (Híbrido)</w:t>
            </w:r>
          </w:p>
        </w:tc>
        <w:tc>
          <w:tcPr>
            <w:tcW w:type="dxa" w:w="2880"/>
          </w:tcPr>
          <w:p>
            <w:r>
              <w:t>0.5544</w:t>
            </w:r>
          </w:p>
        </w:tc>
        <w:tc>
          <w:tcPr>
            <w:tcW w:type="dxa" w:w="2880"/>
          </w:tcPr>
          <w:p>
            <w:r>
              <w:t>Evaluado en 10-Fold CV sin Data Leakage</w:t>
            </w:r>
          </w:p>
        </w:tc>
      </w:tr>
    </w:tbl>
    <w:p>
      <w:r>
        <w:rPr>
          <w:b/>
          <w:color w:val="10B981"/>
        </w:rPr>
        <w:br/>
        <w:t>Interpretabilidad y operabilidad — Tabla 2 (Ranking de Modelos):</w:t>
      </w:r>
    </w:p>
    <w:p>
      <w:r>
        <w:t>• ¿Qué contiene esta tabla?: Comparación jerarquizada de los 5 algoritmos ensayados (Random Forest, SVM, XGBoost, Híbrido RF-MLP, Híbrido SVM-MLP).</w:t>
        <w:br/>
        <w:t>• ¿Cómo se interpreta?: El Composite Scientific Score sintetiza R², F1, MAE y tiempo computacional. Puntuaciones más altas reflejan mayor solidez general.</w:t>
        <w:br/>
        <w:t>• Hallazgos principales: XGBoost obtuvo la mayor puntuación compuesta (0.7878), superando significativamente al resto en la prueba de rangos de Friedman (p &lt; 0.001).</w:t>
        <w:br/>
        <w:t>• Consideraciones y limitaciones: El rendimiento relativo depende del preprocesamiento estandarizado por pliegue aplicado.</w:t>
        <w:br/>
        <w:t>• Cómo utilizar esta tabla: Se utiliza para justificar ante comités de revisión por pares la elección de la arquitectura algorítmica para el gemelo digital.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F17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