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项目画像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v3.5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2026-10-18</w:t>
            </w:r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>
              <w:t>guozhizhuang / 负责人</w:t>
            </w:r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切片-0003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生效</w:t>
            </w:r>
          </w:p>
        </w:tc>
      </w:tr>
    </w:tbl>
    <w:p>
      <w:pPr>
        <w:pStyle w:val="Heading1"/>
      </w:pPr>
      <w:r>
        <w:t>1. 项目基本信息</w:t>
      </w:r>
    </w:p>
    <w:p>
      <w:r>
        <w:t>项目名称：DCG（Data Config Generator）。一句话：以 schema 定义驱动生成与迁移配置数据的 Python 库，含 IR、代码生成、运行时与迁移工具。</w:t>
      </w:r>
    </w:p>
    <w:p>
      <w:r>
        <w:t>技术栈：Python &gt;= 3.10，运行时零第三方依赖；测试用 pytest；构建用 python -m build。</w:t>
      </w:r>
    </w:p>
    <w:p>
      <w:r>
        <w:t>仓库根目录：C:\Users\black\Desktop\DCG；远端 https://github.com/CL98K/DCG.git，分支 main。</w:t>
      </w:r>
    </w:p>
    <w:p>
      <w:r>
        <w:t>协作目录：协作/。</w:t>
      </w:r>
    </w:p>
    <w:p>
      <w:r>
        <w:t>当前状态：全角色全开（九角色 + 九门禁 + 37 份编号交付物 + 3 份附件清单），无档位、无开关、无可选项。</w:t>
      </w:r>
    </w:p>
    <w:p>
      <w:pPr>
        <w:pStyle w:val="Heading1"/>
      </w:pPr>
      <w:r>
        <w:t>2. 命令</w:t>
      </w:r>
    </w:p>
    <w:p>
      <w:pPr>
        <w:pStyle w:val="ListBullet"/>
      </w:pPr>
      <w:r>
        <w:t>构建：python -m build</w:t>
      </w:r>
    </w:p>
    <w:p>
      <w:pPr>
        <w:pStyle w:val="ListBullet"/>
      </w:pPr>
      <w:r>
        <w:t>单元测试：python -m pytest tests/ -p no:cacheprovider（基线 696 passed）</w:t>
      </w:r>
    </w:p>
    <w:p>
      <w:pPr>
        <w:pStyle w:val="ListBullet"/>
      </w:pPr>
      <w:r>
        <w:t>独立验收门禁：python evidence/accept.py（基线 16 PASS / 0 FAIL / 0 SKIP）</w:t>
      </w:r>
    </w:p>
    <w:p>
      <w:pPr>
        <w:pStyle w:val="ListBullet"/>
      </w:pPr>
      <w:r>
        <w:t>静态检查：未配置 linter（不设门禁，仅人工）</w:t>
      </w:r>
    </w:p>
    <w:p>
      <w:pPr>
        <w:pStyle w:val="ListBullet"/>
      </w:pPr>
      <w:r>
        <w:t>打包：python -m build</w:t>
      </w:r>
    </w:p>
    <w:p>
      <w:pPr>
        <w:pStyle w:val="Heading1"/>
      </w:pPr>
      <w:r>
        <w:t>3. 路径</w:t>
      </w:r>
    </w:p>
    <w:p>
      <w:pPr>
        <w:pStyle w:val="ListBullet"/>
      </w:pPr>
      <w:r>
        <w:t>源码 dcg/ 与 dcg/jx/</w:t>
      </w:r>
    </w:p>
    <w:p>
      <w:pPr>
        <w:pStyle w:val="ListBullet"/>
      </w:pPr>
      <w:r>
        <w:t>单测 tests/</w:t>
      </w:r>
    </w:p>
    <w:p>
      <w:pPr>
        <w:pStyle w:val="ListBullet"/>
      </w:pPr>
      <w:r>
        <w:t>独立验收 evidence/</w:t>
      </w:r>
    </w:p>
    <w:p>
      <w:pPr>
        <w:pStyle w:val="ListBullet"/>
      </w:pPr>
      <w:r>
        <w:t>基准 bench/</w:t>
      </w:r>
    </w:p>
    <w:p>
      <w:pPr>
        <w:pStyle w:val="ListBullet"/>
      </w:pPr>
      <w:r>
        <w:t>档案 协作/（含 24-证据/、归档/）；模板为本地缓存（协作/模板/，.gitignore 排除、不入库）</w:t>
      </w:r>
    </w:p>
    <w:p>
      <w:pPr>
        <w:pStyle w:val="Heading1"/>
      </w:pPr>
      <w:r>
        <w:t>4. 改动来源与门禁</w:t>
      </w:r>
    </w:p>
    <w:p>
      <w:pPr>
        <w:pStyle w:val="ListBullet"/>
      </w:pPr>
      <w:r>
        <w:t>改动来源：git；提交作者与提交号是 G1 的归因依据</w:t>
      </w:r>
    </w:p>
    <w:p>
      <w:pPr>
        <w:pStyle w:val="ListBullet"/>
      </w:pPr>
      <w:r>
        <w:t>门禁：G0–G8 全部启用（固定项，不填不选）</w:t>
      </w:r>
    </w:p>
    <w:p>
      <w:pPr>
        <w:pStyle w:val="ListBullet"/>
      </w:pPr>
      <w:r>
        <w:t>审查轮次上限：3（同一交付物超过 3 轮仍 CHANGES_REQUESTED 必须升级为风险或缺陷）</w:t>
      </w:r>
    </w:p>
    <w:p>
      <w:pPr>
        <w:pStyle w:val="ListBullet"/>
      </w:pPr>
      <w:r>
        <w:t>专项审查类别：安全 / 性能 / 供应链 / 兼容性 / 可运维性（与附件B 对齐）</w:t>
      </w:r>
    </w:p>
    <w:p>
      <w:pPr>
        <w:pStyle w:val="Heading1"/>
      </w:pPr>
      <w:r>
        <w:t>5. 九角色映射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承担人</w:t>
            </w:r>
          </w:p>
        </w:tc>
        <w:tc>
          <w:tcPr>
            <w:tcW w:type="dxa" w:w="2160"/>
          </w:tcPr>
          <w:p>
            <w:r>
              <w:t>独立评审方式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负责人</w:t>
            </w:r>
          </w:p>
        </w:tc>
        <w:tc>
          <w:tcPr>
            <w:tcW w:type="dxa" w:w="2160"/>
          </w:tcPr>
          <w:p>
            <w:r>
              <w:t>guozhizhuang</w:t>
            </w:r>
          </w:p>
        </w:tc>
        <w:tc>
          <w:tcPr>
            <w:tcW w:type="dxa" w:w="2160"/>
          </w:tcPr>
          <w:p>
            <w:r>
              <w:t>不适用（最终验收由负责人签）</w:t>
            </w:r>
          </w:p>
        </w:tc>
        <w:tc>
          <w:tcPr>
            <w:tcW w:type="dxa" w:w="2160"/>
          </w:tcPr>
          <w:p>
            <w:r>
              <w:t>轮次上限 3</w:t>
            </w:r>
          </w:p>
        </w:tc>
      </w:tr>
      <w:tr>
        <w:tc>
          <w:tcPr>
            <w:tcW w:type="dxa" w:w="2160"/>
          </w:tcPr>
          <w:p>
            <w:r>
              <w:t>产品</w:t>
            </w:r>
          </w:p>
        </w:tc>
        <w:tc>
          <w:tcPr>
            <w:tcW w:type="dxa" w:w="2160"/>
          </w:tcPr>
          <w:p>
            <w:r>
              <w:t>guozhizhuang</w:t>
            </w:r>
          </w:p>
        </w:tc>
        <w:tc>
          <w:tcPr>
            <w:tcW w:type="dxa" w:w="2160"/>
          </w:tcPr>
          <w:p>
            <w:r>
              <w:t>不适用</w:t>
            </w:r>
          </w:p>
        </w:tc>
        <w:tc>
          <w:tcPr>
            <w:tcW w:type="dxa" w:w="2160"/>
          </w:tcPr>
          <w:p>
            <w:r>
              <w:t>契约与裁决</w:t>
            </w:r>
          </w:p>
        </w:tc>
      </w:tr>
      <w:tr>
        <w:tc>
          <w:tcPr>
            <w:tcW w:type="dxa" w:w="2160"/>
          </w:tcPr>
          <w:p>
            <w:r>
              <w:t>需求分析</w:t>
            </w:r>
          </w:p>
        </w:tc>
        <w:tc>
          <w:tcPr>
            <w:tcW w:type="dxa" w:w="2160"/>
          </w:tcPr>
          <w:p>
            <w:r>
              <w:t>guozhizhuang</w:t>
            </w:r>
          </w:p>
        </w:tc>
        <w:tc>
          <w:tcPr>
            <w:tcW w:type="dxa" w:w="2160"/>
          </w:tcPr>
          <w:p>
            <w:r>
              <w:t>不适用</w:t>
            </w:r>
          </w:p>
        </w:tc>
        <w:tc>
          <w:tcPr>
            <w:tcW w:type="dxa" w:w="2160"/>
          </w:tcPr>
          <w:p>
            <w:r>
              <w:t>规格与草稿</w:t>
            </w:r>
          </w:p>
        </w:tc>
      </w:tr>
      <w:tr>
        <w:tc>
          <w:tcPr>
            <w:tcW w:type="dxa" w:w="2160"/>
          </w:tcPr>
          <w:p>
            <w:r>
              <w:t>架构契约</w:t>
            </w:r>
          </w:p>
        </w:tc>
        <w:tc>
          <w:tcPr>
            <w:tcW w:type="dxa" w:w="2160"/>
          </w:tcPr>
          <w:p>
            <w:r>
              <w:t>guozhizhuang</w:t>
            </w:r>
          </w:p>
        </w:tc>
        <w:tc>
          <w:tcPr>
            <w:tcW w:type="dxa" w:w="2160"/>
          </w:tcPr>
          <w:p>
            <w:r>
              <w:t>不适用</w:t>
            </w:r>
          </w:p>
        </w:tc>
        <w:tc>
          <w:tcPr>
            <w:tcW w:type="dxa" w:w="2160"/>
          </w:tcPr>
          <w:p>
            <w:r>
              <w:t>设计/接口/数据模型/所有权</w:t>
            </w:r>
          </w:p>
        </w:tc>
      </w:tr>
      <w:tr>
        <w:tc>
          <w:tcPr>
            <w:tcW w:type="dxa" w:w="2160"/>
          </w:tcPr>
          <w:p>
            <w:r>
              <w:t>实现工程师</w:t>
            </w:r>
          </w:p>
        </w:tc>
        <w:tc>
          <w:tcPr>
            <w:tcW w:type="dxa" w:w="2160"/>
          </w:tcPr>
          <w:p>
            <w:r>
              <w:t>guozhizhuang</w:t>
            </w:r>
          </w:p>
        </w:tc>
        <w:tc>
          <w:tcPr>
            <w:tcW w:type="dxa" w:w="2160"/>
          </w:tcPr>
          <w:p>
            <w:r>
              <w:t>不适用</w:t>
            </w:r>
          </w:p>
        </w:tc>
        <w:tc>
          <w:tcPr>
            <w:tcW w:type="dxa" w:w="2160"/>
          </w:tcPr>
          <w:p>
            <w:r>
              <w:t>代码与单测</w:t>
            </w:r>
          </w:p>
        </w:tc>
      </w:tr>
      <w:tr>
        <w:tc>
          <w:tcPr>
            <w:tcW w:type="dxa" w:w="2160"/>
          </w:tcPr>
          <w:p>
            <w:r>
              <w:t>代码评审</w:t>
            </w:r>
          </w:p>
        </w:tc>
        <w:tc>
          <w:tcPr>
            <w:tcW w:type="dxa" w:w="2160"/>
          </w:tcPr>
          <w:p>
            <w:r>
              <w:t>guozhizhuang</w:t>
            </w:r>
          </w:p>
        </w:tc>
        <w:tc>
          <w:tcPr>
            <w:tcW w:type="dxa" w:w="2160"/>
          </w:tcPr>
          <w:p>
            <w:r>
              <w:t>独立复读：另一会话逐条读 diff 并按附件A 判定</w:t>
            </w:r>
          </w:p>
        </w:tc>
        <w:tc>
          <w:tcPr>
            <w:tcW w:type="dxa" w:w="2160"/>
          </w:tcPr>
          <w:p>
            <w:r>
              <w:t>与实现同人，必须独立一轮</w:t>
            </w:r>
          </w:p>
        </w:tc>
      </w:tr>
      <w:tr>
        <w:tc>
          <w:tcPr>
            <w:tcW w:type="dxa" w:w="2160"/>
          </w:tcPr>
          <w:p>
            <w:r>
              <w:t>专项评审</w:t>
            </w:r>
          </w:p>
        </w:tc>
        <w:tc>
          <w:tcPr>
            <w:tcW w:type="dxa" w:w="2160"/>
          </w:tcPr>
          <w:p>
            <w:r>
              <w:t>guozhizhuang</w:t>
            </w:r>
          </w:p>
        </w:tc>
        <w:tc>
          <w:tcPr>
            <w:tcW w:type="dxa" w:w="2160"/>
          </w:tcPr>
          <w:p>
            <w:r>
              <w:t>独立复读：按附件B 逐条判定</w:t>
            </w:r>
          </w:p>
        </w:tc>
        <w:tc>
          <w:tcPr>
            <w:tcW w:type="dxa" w:w="2160"/>
          </w:tcPr>
          <w:p>
            <w:r>
              <w:t>同上</w:t>
            </w:r>
          </w:p>
        </w:tc>
      </w:tr>
      <w:tr>
        <w:tc>
          <w:tcPr>
            <w:tcW w:type="dxa" w:w="2160"/>
          </w:tcPr>
          <w:p>
            <w:r>
              <w:t>测试验证</w:t>
            </w:r>
          </w:p>
        </w:tc>
        <w:tc>
          <w:tcPr>
            <w:tcW w:type="dxa" w:w="2160"/>
          </w:tcPr>
          <w:p>
            <w:r>
              <w:t>guozhizhuang</w:t>
            </w:r>
          </w:p>
        </w:tc>
        <w:tc>
          <w:tcPr>
            <w:tcW w:type="dxa" w:w="2160"/>
          </w:tcPr>
          <w:p>
            <w:r>
              <w:t>独立复跑：命令在干净环境重跑并比对退出码</w:t>
            </w:r>
          </w:p>
        </w:tc>
        <w:tc>
          <w:tcPr>
            <w:tcW w:type="dxa" w:w="2160"/>
          </w:tcPr>
          <w:p>
            <w:r>
              <w:t>同上</w:t>
            </w:r>
          </w:p>
        </w:tc>
      </w:tr>
      <w:tr>
        <w:tc>
          <w:tcPr>
            <w:tcW w:type="dxa" w:w="2160"/>
          </w:tcPr>
          <w:p>
            <w:r>
              <w:t>集成发布</w:t>
            </w:r>
          </w:p>
        </w:tc>
        <w:tc>
          <w:tcPr>
            <w:tcW w:type="dxa" w:w="2160"/>
          </w:tcPr>
          <w:p>
            <w:r>
              <w:t>guozhizhuang</w:t>
            </w:r>
          </w:p>
        </w:tc>
        <w:tc>
          <w:tcPr>
            <w:tcW w:type="dxa" w:w="2160"/>
          </w:tcPr>
          <w:p>
            <w:r>
              <w:t>不适用</w:t>
            </w:r>
          </w:p>
        </w:tc>
        <w:tc>
          <w:tcPr>
            <w:tcW w:type="dxa" w:w="2160"/>
          </w:tcPr>
          <w:p>
            <w:r>
              <w:t>集成/发布/账本</w:t>
            </w:r>
          </w:p>
        </w:tc>
      </w:tr>
    </w:tbl>
    <w:p>
      <w:pPr>
        <w:pStyle w:val="Heading1"/>
      </w:pPr>
      <w:r>
        <w:t>6. 中文名→英文别名</w:t>
      </w:r>
    </w:p>
    <w:p>
      <w:r>
        <w:t>交付物与字段以中文名称为准；英文键只是可选别名，仅在需要对接外部工具时使用。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中文名</w:t>
            </w:r>
          </w:p>
        </w:tc>
        <w:tc>
          <w:tcPr>
            <w:tcW w:type="dxa" w:w="2880"/>
          </w:tcPr>
          <w:p>
            <w:r>
              <w:t>英文别名</w:t>
            </w:r>
          </w:p>
        </w:tc>
        <w:tc>
          <w:tcPr>
            <w:tcW w:type="dxa" w:w="2880"/>
          </w:tcPr>
          <w:p>
            <w:r>
              <w:t>出现位置</w:t>
            </w:r>
          </w:p>
        </w:tc>
      </w:tr>
      <w:tr>
        <w:tc>
          <w:tcPr>
            <w:tcW w:type="dxa" w:w="2880"/>
          </w:tcPr>
          <w:p>
            <w:r>
              <w:t>契约ID</w:t>
            </w:r>
          </w:p>
        </w:tc>
        <w:tc>
          <w:tcPr>
            <w:tcW w:type="dxa" w:w="2880"/>
          </w:tcPr>
          <w:p>
            <w:r>
              <w:t>contract_id</w:t>
            </w:r>
          </w:p>
        </w:tc>
        <w:tc>
          <w:tcPr>
            <w:tcW w:type="dxa" w:w="2880"/>
          </w:tcPr>
          <w:p>
            <w:r>
              <w:t>07/09</w:t>
            </w:r>
          </w:p>
        </w:tc>
      </w:tr>
      <w:tr>
        <w:tc>
          <w:tcPr>
            <w:tcW w:type="dxa" w:w="2880"/>
          </w:tcPr>
          <w:p>
            <w:r>
              <w:t>验收标准ID</w:t>
            </w:r>
          </w:p>
        </w:tc>
        <w:tc>
          <w:tcPr>
            <w:tcW w:type="dxa" w:w="2880"/>
          </w:tcPr>
          <w:p>
            <w:r>
              <w:t>acceptance_id</w:t>
            </w:r>
          </w:p>
        </w:tc>
        <w:tc>
          <w:tcPr>
            <w:tcW w:type="dxa" w:w="2880"/>
          </w:tcPr>
          <w:p>
            <w:r>
              <w:t>07/20</w:t>
            </w:r>
          </w:p>
        </w:tc>
      </w:tr>
      <w:tr>
        <w:tc>
          <w:tcPr>
            <w:tcW w:type="dxa" w:w="2880"/>
          </w:tcPr>
          <w:p>
            <w:r>
              <w:t>切片ID</w:t>
            </w:r>
          </w:p>
        </w:tc>
        <w:tc>
          <w:tcPr>
            <w:tcW w:type="dxa" w:w="2880"/>
          </w:tcPr>
          <w:p>
            <w:r>
              <w:t>slice_id</w:t>
            </w:r>
          </w:p>
        </w:tc>
        <w:tc>
          <w:tcPr>
            <w:tcW w:type="dxa" w:w="2880"/>
          </w:tcPr>
          <w:p>
            <w:r>
              <w:t>02/03/04</w:t>
            </w:r>
          </w:p>
        </w:tc>
      </w:tr>
      <w:tr>
        <w:tc>
          <w:tcPr>
            <w:tcW w:type="dxa" w:w="2880"/>
          </w:tcPr>
          <w:p>
            <w:r>
              <w:t>改动编号</w:t>
            </w:r>
          </w:p>
        </w:tc>
        <w:tc>
          <w:tcPr>
            <w:tcW w:type="dxa" w:w="2880"/>
          </w:tcPr>
          <w:p>
            <w:r>
              <w:t>change_id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证据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账本</w:t>
            </w:r>
          </w:p>
        </w:tc>
        <w:tc>
          <w:tcPr>
            <w:tcW w:type="dxa" w:w="2880"/>
          </w:tcPr>
          <w:p>
            <w:r>
              <w:t>ledger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提交号</w:t>
            </w:r>
          </w:p>
        </w:tc>
        <w:tc>
          <w:tcPr>
            <w:tcW w:type="dxa" w:w="2880"/>
          </w:tcPr>
          <w:p>
            <w:r>
              <w:t>commit</w:t>
            </w:r>
          </w:p>
        </w:tc>
        <w:tc>
          <w:tcPr>
            <w:tcW w:type="dxa" w:w="2880"/>
          </w:tcPr>
          <w:p>
            <w:r>
              <w:t>14/22/27/37</w:t>
            </w:r>
          </w:p>
        </w:tc>
      </w:tr>
    </w:tbl>
    <w:p>
      <w:pPr>
        <w:pStyle w:val="Heading1"/>
      </w:pPr>
      <w:r>
        <w:t>7. 全开声明</w:t>
      </w:r>
    </w:p>
    <w:p>
      <w:r>
        <w:t>本仓库按 v3.5 全开运行：37 份编号交付物 + 3 份附件清单全部必需，40 份模板一次性铺满；不存在「档位」「门禁开关」「可选交付物」。</w:t>
      </w:r>
    </w:p>
    <w:p>
      <w:r>
        <w:t>任何偏离只能作为例外写入账本（责任人 + 理由 + 关闭条件），且必须在 G8 之前关闭。</w:t>
      </w:r>
    </w:p>
    <w:p>
      <w:r>
        <w:t>上一版（v3.4）的「单人档位」「P0 只启 G0/G1/G6」「文档类切片豁免 G4/G5」「P0 最小集差异声明」全部作废，见 29-变更记录 变更-0004。</w:t>
      </w:r>
    </w:p>
    <w:p>
      <w:pPr>
        <w:pStyle w:val="Heading1"/>
      </w:pPr>
      <w:r>
        <w:t>8. 证据指针</w:t>
      </w:r>
    </w:p>
    <w:p>
      <w:r>
        <w:t>证据-0008（协议 v3.5 一致性校验）、证据-0009（37+3 交付物齐全）、证据-0011（pytest 696 + accept 16 PASS）。</w:t>
      </w:r>
    </w:p>
    <w:p/>
    <w:p>
      <w:r>
        <w:rPr>
          <w:b/>
        </w:rPr>
        <w:t>9. 协议与模板来源</w:t>
      </w:r>
    </w:p>
    <w:p>
      <w:r>
        <w:t>协议：TEAMODEL 仓库 https://github.com/CL98K/TEAMODEL.git，版本 v3.5.1，标签 tm-v3.5.1（提交 a3850b9）。本仓库版本库不保存协议与模板副本；协作/模板/ 仅为本地缓存（.gitignore 排除）。协议升版需更新本节的版本号与标签，并记一条变更记录。</w:t>
      </w:r>
    </w:p>
    <w:p>
      <w:r>
        <w:t>协议仓库目录：TEAMODEL.md（协议全文）、模板/（40 份骨架）、样例/（真实样例）、历史/（v1 草稿）、CHANGELOG.md。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