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需求规格说明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需求分析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>
      <w:pPr>
        <w:pStyle w:val="Heading1"/>
      </w:pPr>
      <w:r>
        <w:t>摘要</w:t>
      </w:r>
    </w:p>
    <w:p>
      <w:r>
        <w:t>用户要求协议模型「直接全角色全开，没有人工再去手动配置」。本切片删除 v3.4 的档位、门禁开关、可选交付物与分阶段路线，并把本仓库从 P0 骨架补齐为全开档案。</w:t>
      </w:r>
    </w:p>
    <w:p>
      <w:pPr>
        <w:pStyle w:val="Heading1"/>
      </w:pPr>
      <w:r>
        <w:t>背景与目标</w:t>
      </w:r>
    </w:p>
    <w:p>
      <w:r>
        <w:t>背景：v3.4 仍需人工在 01-项目画像里选择档位、勾选启用哪些门禁、决定哪些交付物可选。这些选择项本身就是「可被跳过」的入口。</w:t>
      </w:r>
    </w:p>
    <w:p>
      <w:r>
        <w:t>目标：协议默认全开、零配置；本仓库按全开落齐交付物并把偏离收敛到唯一出口——账本例外，且 G8 前必须关闭。</w:t>
      </w:r>
    </w:p>
    <w:p>
      <w:pPr>
        <w:pStyle w:val="Heading1"/>
      </w:pPr>
      <w:r>
        <w:t>范围</w:t>
      </w:r>
    </w:p>
    <w:p>
      <w:pPr>
        <w:pStyle w:val="ListBullet"/>
      </w:pPr>
      <w:r>
        <w:t>改 TEAMODEL.md（协议正文到 v3.5）。</w:t>
      </w:r>
    </w:p>
    <w:p>
      <w:pPr>
        <w:pStyle w:val="ListBullet"/>
      </w:pPr>
      <w:r>
        <w:t>修复模板与附件不一致处（18 类别枚举扩为安全/性能/供应链/兼容性/可运维性；26/28/29/36/37 枚举补齐已有取值）。</w:t>
      </w:r>
    </w:p>
    <w:p>
      <w:pPr>
        <w:pStyle w:val="ListBullet"/>
      </w:pPr>
      <w:r>
        <w:t>补齐 14 份缺失交付物，并追加 04/05/07/09/13/14/20/25/26/27/28/29/30/36/37 的记录。</w:t>
      </w:r>
    </w:p>
    <w:p>
      <w:pPr>
        <w:pStyle w:val="ListBullet"/>
      </w:pPr>
      <w:r>
        <w:t>做快照-0002 与发布-0001（规范包 v3.5），重建对外交付包。</w:t>
      </w:r>
    </w:p>
    <w:p>
      <w:pPr>
        <w:pStyle w:val="Heading1"/>
      </w:pPr>
      <w:r>
        <w:t>边界条件</w:t>
      </w:r>
    </w:p>
    <w:p>
      <w:pPr>
        <w:pStyle w:val="ListBullet"/>
      </w:pPr>
      <w:r>
        <w:t>不改 dcg/ 与 tests/ 的任何代码。</w:t>
      </w:r>
    </w:p>
    <w:p>
      <w:pPr>
        <w:pStyle w:val="ListBullet"/>
      </w:pPr>
      <w:r>
        <w:t>不改 CONTRACT.md、DESIGN.md、README.md、pyproject.toml。</w:t>
      </w:r>
    </w:p>
    <w:p>
      <w:pPr>
        <w:pStyle w:val="ListBullet"/>
      </w:pPr>
      <w:r>
        <w:t>不删除任何历史记录行；旧记录只追加。</w:t>
      </w:r>
    </w:p>
    <w:p>
      <w:pPr>
        <w:pStyle w:val="Heading1"/>
      </w:pPr>
      <w:r>
        <w:t>假设</w:t>
      </w:r>
    </w:p>
    <w:p>
      <w:pPr>
        <w:pStyle w:val="ListBullet"/>
      </w:pPr>
      <w:r>
        <w:t>单人承担九角色时，评审独立性由独立复读/独立复跑保证，并记账本。</w:t>
      </w:r>
    </w:p>
    <w:p>
      <w:pPr>
        <w:pStyle w:val="ListBullet"/>
      </w:pPr>
      <w:r>
        <w:t>哈希链与 CI 自动化仍属待人类决策，本次不实现。</w:t>
      </w:r>
    </w:p>
    <w:p>
      <w:pPr>
        <w:pStyle w:val="Heading1"/>
      </w:pPr>
      <w:r>
        <w:t>待确认项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关闭条件</w:t>
            </w:r>
          </w:p>
        </w:tc>
      </w:tr>
      <w:tr>
        <w:tc>
          <w:tcPr>
            <w:tcW w:type="dxa" w:w="2160"/>
          </w:tcPr>
          <w:p>
            <w:r>
              <w:t>Q-01</w:t>
            </w:r>
          </w:p>
        </w:tc>
        <w:tc>
          <w:tcPr>
            <w:tcW w:type="dxa" w:w="2160"/>
          </w:tcPr>
          <w:p>
            <w:r>
              <w:t>是否把 G0 表头校验接进 CI</w:t>
            </w:r>
          </w:p>
        </w:tc>
        <w:tc>
          <w:tcPr>
            <w:tcW w:type="dxa" w:w="2160"/>
          </w:tcPr>
          <w:p>
            <w:r>
              <w:t>开放</w:t>
            </w:r>
          </w:p>
        </w:tc>
        <w:tc>
          <w:tcPr>
            <w:tcW w:type="dxa" w:w="2160"/>
          </w:tcPr>
          <w:p>
            <w:r>
              <w:t>流水线中加入 verify 脚本并成为阻断项</w:t>
            </w:r>
          </w:p>
        </w:tc>
      </w:tr>
      <w:tr>
        <w:tc>
          <w:tcPr>
            <w:tcW w:type="dxa" w:w="2160"/>
          </w:tcPr>
          <w:p>
            <w:r>
              <w:t>Q-02</w:t>
            </w:r>
          </w:p>
        </w:tc>
        <w:tc>
          <w:tcPr>
            <w:tcW w:type="dxa" w:w="2160"/>
          </w:tcPr>
          <w:p>
            <w:r>
              <w:t>是否启用账本哈希链</w:t>
            </w:r>
          </w:p>
        </w:tc>
        <w:tc>
          <w:tcPr>
            <w:tcW w:type="dxa" w:w="2160"/>
          </w:tcPr>
          <w:p>
            <w:r>
              <w:t>开放</w:t>
            </w:r>
          </w:p>
        </w:tc>
        <w:tc>
          <w:tcPr>
            <w:tcW w:type="dxa" w:w="2160"/>
          </w:tcPr>
          <w:p>
            <w:r>
              <w:t>决策后实现并记账本，风险-0004 关闭</w:t>
            </w:r>
          </w:p>
        </w:tc>
      </w:tr>
      <w:tr>
        <w:tc>
          <w:tcPr>
            <w:tcW w:type="dxa" w:w="2160"/>
          </w:tcPr>
          <w:p>
            <w:r>
              <w:t>Q-03</w:t>
            </w:r>
          </w:p>
        </w:tc>
        <w:tc>
          <w:tcPr>
            <w:tcW w:type="dxa" w:w="2160"/>
          </w:tcPr>
          <w:p>
            <w:r>
              <w:t>首个代码切片的专项类别是否仍为五类</w:t>
            </w:r>
          </w:p>
        </w:tc>
        <w:tc>
          <w:tcPr>
            <w:tcW w:type="dxa" w:w="2160"/>
          </w:tcPr>
          <w:p>
            <w:r>
              <w:t>开放</w:t>
            </w:r>
          </w:p>
        </w:tc>
        <w:tc>
          <w:tcPr>
            <w:tcW w:type="dxa" w:w="2160"/>
          </w:tcPr>
          <w:p>
            <w:r>
              <w:t>首个代码切片冻结契约时确认</w:t>
            </w:r>
          </w:p>
        </w:tc>
      </w:tr>
    </w:tbl>
    <w:p>
      <w:pPr>
        <w:pStyle w:val="Heading1"/>
      </w:pPr>
      <w:r>
        <w:t>证据指针</w:t>
      </w:r>
    </w:p>
    <w:p>
      <w:r>
        <w:t>证据-0008、证据-0009。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