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技术设计文档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架构契约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v3.5 只改协议层与档案层，不动 DCG 库代码。设计要点：①删除配置面，把「选择权」从人改成默认值；②把偏离收敛到唯一出口——账本例外，且 G8 前必须关闭；③全开不等于凑齐九个人，同人可兼多角色，但独立评审那一轮必须独立。</w:t>
      </w:r>
    </w:p>
    <w:p>
      <w:pPr>
        <w:pStyle w:val="Heading1"/>
      </w:pPr>
      <w:r>
        <w:t>架构图</w:t>
      </w:r>
    </w:p>
    <w:p>
      <w:r>
        <w:t>协议层 TEAMODEL.md → 交付物层 协作/01..37 + 附件A/B/C → 证据层 协作/24-证据 → 归档层 协作/27 + 协作/归档 → 账本层 协作/25（唯一的事件时间线）。门禁 G0–G8 逐层校验，任何一层缺失都在 G0/G8 暴露。</w:t>
      </w:r>
    </w:p>
    <w:p>
      <w:pPr>
        <w:pStyle w:val="Heading1"/>
      </w:pPr>
      <w:r>
        <w:t>模块划分</w:t>
      </w:r>
    </w:p>
    <w:p>
      <w:pPr>
        <w:pStyle w:val="ListBullet"/>
      </w:pPr>
      <w:r>
        <w:t>协议层：不变量、九角色、门禁判定、字段字典（§5.1–5.37）。</w:t>
      </w:r>
    </w:p>
    <w:p>
      <w:pPr>
        <w:pStyle w:val="ListBullet"/>
      </w:pPr>
      <w:r>
        <w:t>交付物层：37 份编号交付物 + 3 份附件清单，对应 40 份模板。</w:t>
      </w:r>
    </w:p>
    <w:p>
      <w:pPr>
        <w:pStyle w:val="ListBullet"/>
      </w:pPr>
      <w:r>
        <w:t>证据层：每条门禁结论对应一份可复跑证据（命令 + 输出 + 摘要）。</w:t>
      </w:r>
    </w:p>
    <w:p>
      <w:pPr>
        <w:pStyle w:val="ListBullet"/>
      </w:pPr>
      <w:r>
        <w:t>归档层：快照 zip + SHA256 + 还原验证 + 归档清单登记。</w:t>
      </w:r>
    </w:p>
    <w:p>
      <w:pPr>
        <w:pStyle w:val="ListBullet"/>
      </w:pPr>
      <w:r>
        <w:t>账本层：只追加的事件时间线，序号连续、不可改历史。</w:t>
      </w:r>
    </w:p>
    <w:p>
      <w:pPr>
        <w:pStyle w:val="Heading1"/>
      </w:pPr>
      <w:r>
        <w:t>选型多维表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方案</w:t>
            </w:r>
          </w:p>
        </w:tc>
        <w:tc>
          <w:tcPr>
            <w:tcW w:type="dxa" w:w="1234"/>
          </w:tcPr>
          <w:p>
            <w:r>
              <w:t>成本</w:t>
            </w:r>
          </w:p>
        </w:tc>
        <w:tc>
          <w:tcPr>
            <w:tcW w:type="dxa" w:w="1234"/>
          </w:tcPr>
          <w:p>
            <w:r>
              <w:t>性能</w:t>
            </w:r>
          </w:p>
        </w:tc>
        <w:tc>
          <w:tcPr>
            <w:tcW w:type="dxa" w:w="1234"/>
          </w:tcPr>
          <w:p>
            <w:r>
              <w:t>可维护性</w:t>
            </w:r>
          </w:p>
        </w:tc>
        <w:tc>
          <w:tcPr>
            <w:tcW w:type="dxa" w:w="1234"/>
          </w:tcPr>
          <w:p>
            <w:r>
              <w:t>生态</w:t>
            </w:r>
          </w:p>
        </w:tc>
        <w:tc>
          <w:tcPr>
            <w:tcW w:type="dxa" w:w="1234"/>
          </w:tcPr>
          <w:p>
            <w:r>
              <w:t>风险</w:t>
            </w:r>
          </w:p>
        </w:tc>
        <w:tc>
          <w:tcPr>
            <w:tcW w:type="dxa" w:w="1234"/>
          </w:tcPr>
          <w:p>
            <w:r>
              <w:t>锁定效应</w:t>
            </w:r>
          </w:p>
        </w:tc>
      </w:tr>
      <w:tr>
        <w:tc>
          <w:tcPr>
            <w:tcW w:type="dxa" w:w="1234"/>
          </w:tcPr>
          <w:p>
            <w:r>
              <w:t>保留档位与门禁开关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无影响</w:t>
            </w:r>
          </w:p>
        </w:tc>
        <w:tc>
          <w:tcPr>
            <w:tcW w:type="dxa" w:w="1234"/>
          </w:tcPr>
          <w:p>
            <w:r>
              <w:t>差（每项目一套配置）</w:t>
            </w:r>
          </w:p>
        </w:tc>
        <w:tc>
          <w:tcPr>
            <w:tcW w:type="dxa" w:w="1234"/>
          </w:tcPr>
          <w:p>
            <w:r>
              <w:t>无</w:t>
            </w:r>
          </w:p>
        </w:tc>
        <w:tc>
          <w:tcPr>
            <w:tcW w:type="dxa" w:w="1234"/>
          </w:tcPr>
          <w:p>
            <w:r>
              <w:t>高（可被跳过）</w:t>
            </w:r>
          </w:p>
        </w:tc>
        <w:tc>
          <w:tcPr>
            <w:tcW w:type="dxa" w:w="1234"/>
          </w:tcPr>
          <w:p>
            <w:r>
              <w:t>无</w:t>
            </w:r>
          </w:p>
        </w:tc>
      </w:tr>
      <w:tr>
        <w:tc>
          <w:tcPr>
            <w:tcW w:type="dxa" w:w="1234"/>
          </w:tcPr>
          <w:p>
            <w:r>
              <w:t>全角色全开（本版采用）</w:t>
            </w:r>
          </w:p>
        </w:tc>
        <w:tc>
          <w:tcPr>
            <w:tcW w:type="dxa" w:w="1234"/>
          </w:tcPr>
          <w:p>
            <w:r>
              <w:t>一次性铺 40 份骨架</w:t>
            </w:r>
          </w:p>
        </w:tc>
        <w:tc>
          <w:tcPr>
            <w:tcW w:type="dxa" w:w="1234"/>
          </w:tcPr>
          <w:p>
            <w:r>
              <w:t>无影响</w:t>
            </w:r>
          </w:p>
        </w:tc>
        <w:tc>
          <w:tcPr>
            <w:tcW w:type="dxa" w:w="1234"/>
          </w:tcPr>
          <w:p>
            <w:r>
              <w:t>好（一份规则适用所有项目）</w:t>
            </w:r>
          </w:p>
        </w:tc>
        <w:tc>
          <w:tcPr>
            <w:tcW w:type="dxa" w:w="1234"/>
          </w:tcPr>
          <w:p>
            <w:r>
              <w:t>无</w:t>
            </w:r>
          </w:p>
        </w:tc>
        <w:tc>
          <w:tcPr>
            <w:tcW w:type="dxa" w:w="1234"/>
          </w:tcPr>
          <w:p>
            <w:r>
              <w:t>中（小项目负担重，用「全开≠九个人」缓解）</w:t>
            </w:r>
          </w:p>
        </w:tc>
        <w:tc>
          <w:tcPr>
            <w:tcW w:type="dxa" w:w="1234"/>
          </w:tcPr>
          <w:p>
            <w:r>
              <w:t>无</w:t>
            </w:r>
          </w:p>
        </w:tc>
      </w:tr>
      <w:tr>
        <w:tc>
          <w:tcPr>
            <w:tcW w:type="dxa" w:w="1234"/>
          </w:tcPr>
          <w:p>
            <w:r>
              <w:t>程序化门禁 CLI</w:t>
            </w:r>
          </w:p>
        </w:tc>
        <w:tc>
          <w:tcPr>
            <w:tcW w:type="dxa" w:w="1234"/>
          </w:tcPr>
          <w:p>
            <w:r>
              <w:t>高（要写要维护）</w:t>
            </w:r>
          </w:p>
        </w:tc>
        <w:tc>
          <w:tcPr>
            <w:tcW w:type="dxa" w:w="1234"/>
          </w:tcPr>
          <w:p>
            <w:r>
              <w:t>有运行开销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需 Python 环境</w:t>
            </w:r>
          </w:p>
        </w:tc>
        <w:tc>
          <w:tcPr>
            <w:tcW w:type="dxa" w:w="1234"/>
          </w:tcPr>
          <w:p>
            <w:r>
              <w:t>中（被审方仍可绕过）</w:t>
            </w:r>
          </w:p>
        </w:tc>
        <w:tc>
          <w:tcPr>
            <w:tcW w:type="dxa" w:w="1234"/>
          </w:tcPr>
          <w:p>
            <w:r>
              <w:t>高</w:t>
            </w:r>
          </w:p>
        </w:tc>
      </w:tr>
    </w:tbl>
    <w:p>
      <w:pPr>
        <w:pStyle w:val="Heading1"/>
      </w:pPr>
      <w:r>
        <w:t>文件所有权建议</w:t>
      </w:r>
    </w:p>
    <w:p>
      <w:pPr>
        <w:pStyle w:val="ListBullet"/>
      </w:pPr>
      <w:r>
        <w:t>TEAMODEL.md 与 协作/模板/** 归架构契约。</w:t>
      </w:r>
    </w:p>
    <w:p>
      <w:pPr>
        <w:pStyle w:val="ListBullet"/>
      </w:pPr>
      <w:r>
        <w:t>协作/** 其余归负责人；25-账本 只由集成发布写。</w:t>
      </w:r>
    </w:p>
    <w:p>
      <w:pPr>
        <w:pStyle w:val="ListBullet"/>
      </w:pPr>
      <w:r>
        <w:t>协作/归档/** 归集成发布。详见 13-文件所有权。</w:t>
      </w:r>
    </w:p>
    <w:p>
      <w:pPr>
        <w:pStyle w:val="Heading1"/>
      </w:pPr>
      <w:r>
        <w:t>证据指针</w:t>
      </w:r>
    </w:p>
    <w:p>
      <w:r>
        <w:t>证据-0008、证据-0009。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