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交接与归档说明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>
      <w:pPr>
        <w:pStyle w:val="Heading1"/>
      </w:pPr>
      <w:r>
        <w:t>摘要</w:t>
      </w:r>
    </w:p>
    <w:p>
      <w:r>
        <w:t>给接手人的最短路径：先读 01-项目画像 与 TEAMODEL.md，再按 25-账本 的时间线看历史，最后用 26/27 确认档案完整性。</w:t>
      </w:r>
    </w:p>
    <w:p>
      <w:pPr>
        <w:pStyle w:val="Heading1"/>
      </w:pPr>
      <w:r>
        <w:t>档案范围</w:t>
      </w:r>
    </w:p>
    <w:p>
      <w:r>
        <w:t>范围 = 协作/ 全目录 + 仓库根 TEAMODEL.md + 版本标签 tm-v3.4 / tm-v3.5 对应的归档包。代码与其测试在 dcg/、tests/、evidence/，不在档案范围内但受同一门禁约束。</w:t>
      </w:r>
    </w:p>
    <w:p>
      <w:pPr>
        <w:pStyle w:val="Heading1"/>
      </w:pPr>
      <w:r>
        <w:t>目录结构</w:t>
      </w:r>
    </w:p>
    <w:p>
      <w:pPr>
        <w:pStyle w:val="ListBullet"/>
      </w:pPr>
      <w:r>
        <w:t>协作/01..37-*.xlsx|docx：编号交付物，文件名即编号。</w:t>
      </w:r>
    </w:p>
    <w:p>
      <w:pPr>
        <w:pStyle w:val="ListBullet"/>
      </w:pPr>
      <w:r>
        <w:t>协作/24-证据/：证据-0001..0011，一条门禁结论一份。</w:t>
      </w:r>
    </w:p>
    <w:p>
      <w:pPr>
        <w:pStyle w:val="ListBullet"/>
      </w:pPr>
      <w:r>
        <w:t>协作/模板/：40 份骨架，复制即全开。</w:t>
      </w:r>
    </w:p>
    <w:p>
      <w:pPr>
        <w:pStyle w:val="ListBullet"/>
      </w:pPr>
      <w:r>
        <w:t>协作/归档/：dcg-tm-v3.4.zip、dcg-tm-v3.5.zip，SHA256 记在 27。</w:t>
      </w:r>
    </w:p>
    <w:p>
      <w:pPr>
        <w:pStyle w:val="Heading1"/>
      </w:pPr>
      <w:r>
        <w:t>阅读顺序</w:t>
      </w:r>
    </w:p>
    <w:p>
      <w:pPr>
        <w:pStyle w:val="ListBullet"/>
      </w:pPr>
      <w:r>
        <w:t>01-项目画像 → 02-任务切片图 → 05-总览 → 25-账本。</w:t>
      </w:r>
    </w:p>
    <w:p>
      <w:pPr>
        <w:pStyle w:val="ListBullet"/>
      </w:pPr>
      <w:r>
        <w:t>要做新切片：看 03-任务书 与 07-需求契约 的写法，再照 14/16/18/20/22 的顺序走。</w:t>
      </w:r>
    </w:p>
    <w:p>
      <w:pPr>
        <w:pStyle w:val="ListBullet"/>
      </w:pPr>
      <w:r>
        <w:t>要对账：27 + 26 + 证据文档，三者互指。</w:t>
      </w:r>
    </w:p>
    <w:p>
      <w:pPr>
        <w:pStyle w:val="Heading1"/>
      </w:pPr>
      <w:r>
        <w:t>还原步骤</w:t>
      </w:r>
    </w:p>
    <w:p>
      <w:pPr>
        <w:pStyle w:val="ListBullet"/>
      </w:pPr>
      <w:r>
        <w:t>下载或拷贝 协作/归档/dcg-tm-v3.5.zip。</w:t>
      </w:r>
    </w:p>
    <w:p>
      <w:pPr>
        <w:pStyle w:val="ListBullet"/>
      </w:pPr>
      <w:r>
        <w:t>sha256sum 校验是否等于 27-归档快照 中的值。</w:t>
      </w:r>
    </w:p>
    <w:p>
      <w:pPr>
        <w:pStyle w:val="ListBullet"/>
      </w:pPr>
      <w:r>
        <w:t>解包后核对文件数与 27 记录一致；抽查 26-归档清单 中登记的文件是否存在。</w:t>
      </w:r>
    </w:p>
    <w:p>
      <w:pPr>
        <w:pStyle w:val="Heading1"/>
      </w:pPr>
      <w:r>
        <w:t>保留期限</w:t>
      </w:r>
    </w:p>
    <w:p>
      <w:r>
        <w:t>长期保留：账本、证据、归档包、决策/风险/变更记录、发布历史。可迁移：模板（随协议升版重建，旧版留档）。禁止销毁：任何证据与账本行。</w:t>
      </w:r>
    </w:p>
    <w:p>
      <w:pPr>
        <w:pStyle w:val="Heading1"/>
      </w:pPr>
      <w:r>
        <w:t>联系人</w:t>
      </w:r>
    </w:p>
    <w:p>
      <w:r>
        <w:t>当前全部角色由 guozhizhuang 承担；交接时须在账本记「人员交接」事件，并更新 01-项目画像 §5 九角色映射。</w:t>
      </w:r>
    </w:p>
    <w:p>
      <w:pPr>
        <w:pStyle w:val="Heading1"/>
      </w:pPr>
      <w:r>
        <w:t>证据指针</w:t>
      </w:r>
    </w:p>
    <w:p>
      <w:r>
        <w:t>证据-0010、证据-0009。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