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附件A-代码审查清单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pPr>
        <w:pStyle w:val="Heading1"/>
      </w:pPr>
      <w:r>
        <w:t>说明</w:t>
      </w:r>
    </w:p>
    <w:p>
      <w:r>
        <w:t>代码评审（G4）用它当检查项全集；07-代码评审记录的「检查项编号」必须来自这里。</w:t>
      </w:r>
    </w:p>
    <w:p>
      <w:r>
        <w:t>冻结后要改，必须记一条变更并重新评审；结论只能填：同意 / 驳回 / 不适用。</w:t>
      </w:r>
    </w:p>
    <w:p>
      <w:pPr>
        <w:pStyle w:val="Heading1"/>
      </w:pPr>
      <w:r>
        <w:t>检查清单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编号</w:t>
            </w:r>
          </w:p>
        </w:tc>
        <w:tc>
          <w:tcPr>
            <w:tcW w:type="dxa" w:w="1728"/>
          </w:tcPr>
          <w:p>
            <w:r>
              <w:t>检查项</w:t>
            </w:r>
          </w:p>
        </w:tc>
        <w:tc>
          <w:tcPr>
            <w:tcW w:type="dxa" w:w="1728"/>
          </w:tcPr>
          <w:p>
            <w:r>
              <w:t>结论</w:t>
            </w:r>
          </w:p>
        </w:tc>
        <w:tc>
          <w:tcPr>
            <w:tcW w:type="dxa" w:w="1728"/>
          </w:tcPr>
          <w:p>
            <w:r>
              <w:t>证据编号</w:t>
            </w:r>
          </w:p>
        </w:tc>
        <w:tc>
          <w:tcPr>
            <w:tcW w:type="dxa" w:w="1728"/>
          </w:tcPr>
          <w:p>
            <w:r>
              <w:t>意见</w:t>
            </w:r>
          </w:p>
        </w:tc>
      </w:tr>
      <w:tr>
        <w:tc>
          <w:tcPr>
            <w:tcW w:type="dxa" w:w="1728"/>
          </w:tcPr>
          <w:p>
            <w:r>
              <w:t>A-01</w:t>
            </w:r>
          </w:p>
        </w:tc>
        <w:tc>
          <w:tcPr>
            <w:tcW w:type="dxa" w:w="1728"/>
          </w:tcPr>
          <w:p>
            <w:r>
              <w:t>改动范围与 06-改动清单 一致，没有顺手改无关文件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A-02</w:t>
            </w:r>
          </w:p>
        </w:tc>
        <w:tc>
          <w:tcPr>
            <w:tcW w:type="dxa" w:w="1728"/>
          </w:tcPr>
          <w:p>
            <w:r>
              <w:t>新增/修改的函数有明确输入输出与边界处理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A-03</w:t>
            </w:r>
          </w:p>
        </w:tc>
        <w:tc>
          <w:tcPr>
            <w:tcW w:type="dxa" w:w="1728"/>
          </w:tcPr>
          <w:p>
            <w:r>
              <w:t>错误路径有处理（不吞异常、不静默返回默认值）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A-04</w:t>
            </w:r>
          </w:p>
        </w:tc>
        <w:tc>
          <w:tcPr>
            <w:tcW w:type="dxa" w:w="1728"/>
          </w:tcPr>
          <w:p>
            <w:r>
              <w:t>资源使用有上限（内存/句柄/超时），失败会释放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A-05</w:t>
            </w:r>
          </w:p>
        </w:tc>
        <w:tc>
          <w:tcPr>
            <w:tcW w:type="dxa" w:w="1728"/>
          </w:tcPr>
          <w:p>
            <w:r>
              <w:t>无硬编码密钥、口令、绝对路径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A-06</w:t>
            </w:r>
          </w:p>
        </w:tc>
        <w:tc>
          <w:tcPr>
            <w:tcW w:type="dxa" w:w="1728"/>
          </w:tcPr>
          <w:p>
            <w:r>
              <w:t>命名与项目既有风格一致，无死代码与调试输出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A-07</w:t>
            </w:r>
          </w:p>
        </w:tc>
        <w:tc>
          <w:tcPr>
            <w:tcW w:type="dxa" w:w="1728"/>
          </w:tcPr>
          <w:p>
            <w:r>
              <w:t>对契约的改动已登记并说明兼容性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A-08</w:t>
            </w:r>
          </w:p>
        </w:tc>
        <w:tc>
          <w:tcPr>
            <w:tcW w:type="dxa" w:w="1728"/>
          </w:tcPr>
          <w:p>
            <w:r>
              <w:t>复杂分支有注释说明「为什么」而不是「做了什么」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A-09</w:t>
            </w:r>
          </w:p>
        </w:tc>
        <w:tc>
          <w:tcPr>
            <w:tcW w:type="dxa" w:w="1728"/>
          </w:tcPr>
          <w:p>
            <w:r>
              <w:t>新增行为有对应验收标准（验收编号可追溯）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A-10</w:t>
            </w:r>
          </w:p>
        </w:tc>
        <w:tc>
          <w:tcPr>
            <w:tcW w:type="dxa" w:w="1728"/>
          </w:tcPr>
          <w:p>
            <w:r>
              <w:t>性能敏感路径没有引入额外分配或重复计算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