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附件C-验收清单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说明</w:t>
      </w:r>
    </w:p>
    <w:p>
      <w:r>
        <w:t>测试验证（G6）用它；每条都要落到 09-验收记录 的一行。</w:t>
      </w:r>
    </w:p>
    <w:p>
      <w:r>
        <w:t>冻结后要改，必须记一条变更并重新评审；结论只能填：同意 / 驳回 / 不适用。</w:t>
      </w:r>
    </w:p>
    <w:p>
      <w:pPr>
        <w:pStyle w:val="Heading1"/>
      </w:pPr>
      <w:r>
        <w:t>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  <w:tc>
          <w:tcPr>
            <w:tcW w:type="dxa" w:w="1728"/>
          </w:tcPr>
          <w:p>
            <w:r>
              <w:t>证据编号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C-01</w:t>
            </w:r>
          </w:p>
        </w:tc>
        <w:tc>
          <w:tcPr>
            <w:tcW w:type="dxa" w:w="1728"/>
          </w:tcPr>
          <w:p>
            <w:r>
              <w:t>每条验收标准都有对应验收记录行且有证据编号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C-02</w:t>
            </w:r>
          </w:p>
        </w:tc>
        <w:tc>
          <w:tcPr>
            <w:tcW w:type="dxa" w:w="1728"/>
          </w:tcPr>
          <w:p>
            <w:r>
              <w:t>证据可重跑，退出码与摘要一致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C-03</w:t>
            </w:r>
          </w:p>
        </w:tc>
        <w:tc>
          <w:tcPr>
            <w:tcW w:type="dxa" w:w="1728"/>
          </w:tcPr>
          <w:p>
            <w:r>
              <w:t>判定来源为「独立」（不是用被测代码自己的输出当标准）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C-04</w:t>
            </w:r>
          </w:p>
        </w:tc>
        <w:tc>
          <w:tcPr>
            <w:tcW w:type="dxa" w:w="1728"/>
          </w:tcPr>
          <w:p>
            <w:r>
              <w:t>边界与异常用例被执行过且结论记录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C-05</w:t>
            </w:r>
          </w:p>
        </w:tc>
        <w:tc>
          <w:tcPr>
            <w:tcW w:type="dxa" w:w="1728"/>
          </w:tcPr>
          <w:p>
            <w:r>
              <w:t>验收集合与需求覆盖一致（无多写、无漏写）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C-06</w:t>
            </w:r>
          </w:p>
        </w:tc>
        <w:tc>
          <w:tcPr>
            <w:tcW w:type="dxa" w:w="1728"/>
          </w:tcPr>
          <w:p>
            <w:r>
              <w:t>不通过项已登记缺陷并闭环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