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附件A-代码审查清单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说明</w:t>
      </w:r>
    </w:p>
    <w:p>
      <w:r>
        <w:t>架构契约设计员产出并冻结；检查项编号由本清单唯一分配，审查报告只能引用、不得自造。</w:t>
      </w:r>
    </w:p>
    <w:p>
      <w:r>
        <w:t>冻结后要改，必须记一条变更并重新评审；结论只能是 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证据指针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A-01</w:t>
            </w:r>
          </w:p>
        </w:tc>
        <w:tc>
          <w:tcPr>
            <w:tcW w:type="dxa" w:w="1728"/>
          </w:tcPr>
          <w:p>
            <w:r>
              <w:t>改动范围与 14-改动清单 一致，没有顺手改无关文件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A-02</w:t>
            </w:r>
          </w:p>
        </w:tc>
        <w:tc>
          <w:tcPr>
            <w:tcW w:type="dxa" w:w="1728"/>
          </w:tcPr>
          <w:p>
            <w:r>
              <w:t>新增/修改的函数有明确输入输出与边界处理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A-03</w:t>
            </w:r>
          </w:p>
        </w:tc>
        <w:tc>
          <w:tcPr>
            <w:tcW w:type="dxa" w:w="1728"/>
          </w:tcPr>
          <w:p>
            <w:r>
              <w:t>错误路径有处理（不吞异常、不静默返回默认值）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A-04</w:t>
            </w:r>
          </w:p>
        </w:tc>
        <w:tc>
          <w:tcPr>
            <w:tcW w:type="dxa" w:w="1728"/>
          </w:tcPr>
          <w:p>
            <w:r>
              <w:t>资源使用有上限，失败会释放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A-05</w:t>
            </w:r>
          </w:p>
        </w:tc>
        <w:tc>
          <w:tcPr>
            <w:tcW w:type="dxa" w:w="1728"/>
          </w:tcPr>
          <w:p>
            <w:r>
              <w:t>无硬编码密钥、口令、绝对路径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A-06</w:t>
            </w:r>
          </w:p>
        </w:tc>
        <w:tc>
          <w:tcPr>
            <w:tcW w:type="dxa" w:w="1728"/>
          </w:tcPr>
          <w:p>
            <w:r>
              <w:t>命名与项目既有风格一致，无死代码与调试输出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A-07</w:t>
            </w:r>
          </w:p>
        </w:tc>
        <w:tc>
          <w:tcPr>
            <w:tcW w:type="dxa" w:w="1728"/>
          </w:tcPr>
          <w:p>
            <w:r>
              <w:t>对契约的改动已登记并说明兼容性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A-08</w:t>
            </w:r>
          </w:p>
        </w:tc>
        <w:tc>
          <w:tcPr>
            <w:tcW w:type="dxa" w:w="1728"/>
          </w:tcPr>
          <w:p>
            <w:r>
              <w:t>复杂分支有注释说明「为什么」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A-09</w:t>
            </w:r>
          </w:p>
        </w:tc>
        <w:tc>
          <w:tcPr>
            <w:tcW w:type="dxa" w:w="1728"/>
          </w:tcPr>
          <w:p>
            <w:r>
              <w:t>新增行为有对应验收标准（验收ID可追溯）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A-10</w:t>
            </w:r>
          </w:p>
        </w:tc>
        <w:tc>
          <w:tcPr>
            <w:tcW w:type="dxa" w:w="1728"/>
          </w:tcPr>
          <w:p>
            <w:r>
              <w:t>性能敏感路径没有引入额外分配或重复计算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