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测试验证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切片-0002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结论先行：本计划覆盖 DCG 的单元测试（pytest 696 例）与独立验收门禁（16 项），以全绿为退出准则；不测项见第 2 节。</w:t>
      </w:r>
    </w:p>
    <w:p>
      <w:pPr>
        <w:pStyle w:val="Heading1"/>
      </w:pPr>
      <w:r>
        <w:t>1. 范围与不测范围</w:t>
      </w:r>
    </w:p>
    <w:p>
      <w:r>
        <w:t>测：dcg/ 的编译、运行时、schema、migrate、codegen、jx 子包；协议交付物与模板的格式一致性。</w:t>
      </w:r>
    </w:p>
    <w:p>
      <w:r>
        <w:t>不测：性能基准（bench/ 属于历史样本，另行专项）、网络与外部服务（本库零依赖无外部调用）。</w:t>
      </w:r>
    </w:p>
    <w:p>
      <w:pPr>
        <w:pStyle w:val="Heading1"/>
      </w:pPr>
      <w:r>
        <w:t>2. 策略</w:t>
      </w:r>
    </w:p>
    <w:p>
      <w:r>
        <w:t>单元测试：pytest，按模块分文件；断言行为而非实现细节。</w:t>
      </w:r>
    </w:p>
    <w:p>
      <w:r>
        <w:t>验收门禁：evidence/accept.py 独立重算契约，SKIP 不计为 PASS。</w:t>
      </w:r>
    </w:p>
    <w:p>
      <w:r>
        <w:t>文档：verify 脚本逐字比对 §5 字段名与模板表头。</w:t>
      </w:r>
    </w:p>
    <w:p>
      <w:pPr>
        <w:pStyle w:val="Heading1"/>
      </w:pPr>
      <w:r>
        <w:t>3. 环境与数据</w:t>
      </w:r>
    </w:p>
    <w:p>
      <w:r>
        <w:t>Windows 11 + Python 3.13；Linux/macOS 由 CI 另行覆盖（待接）。</w:t>
      </w:r>
    </w:p>
    <w:p>
      <w:r>
        <w:t>测试数据内联在用例里，不依赖外部文件。</w:t>
      </w:r>
    </w:p>
    <w:p>
      <w:pPr>
        <w:pStyle w:val="Heading1"/>
      </w:pPr>
      <w:r>
        <w:t>4. 覆盖目标与退出准则</w:t>
      </w:r>
    </w:p>
    <w:p>
      <w:r>
        <w:t>退出准则：pytest 696/696 通过、accept 16 PASS / 0 FAIL / 0 SKIP、模板校验 0 问题。</w:t>
      </w:r>
    </w:p>
    <w:p>
      <w:r>
        <w:t>覆盖率目标：暂不设百分比门槛（未接覆盖率工具，列为改进项）。</w:t>
      </w:r>
    </w:p>
    <w:p>
      <w:pPr>
        <w:pStyle w:val="Heading1"/>
      </w:pPr>
      <w:r>
        <w:t>5. 进度与责任</w:t>
      </w:r>
    </w:p>
    <w:p>
      <w:r>
        <w:t>每切片：实现自测 → 测试验证执行全量 → 证据落 24-证据/。</w:t>
      </w:r>
    </w:p>
    <w:p>
      <w:r>
        <w:t>责任人：测试验证角色；负责人复核。</w:t>
      </w:r>
    </w:p>
    <w:p>
      <w:pPr>
        <w:pStyle w:val="Heading1"/>
      </w:pPr>
      <w:r>
        <w:t>6. 风险</w:t>
      </w:r>
    </w:p>
    <w:p>
      <w:r>
        <w:t>风险-0002（校验未接 CI）与风险-0001（单人档位独立性）见 30-风险登记册。</w:t>
      </w:r>
    </w:p>
    <w:p>
      <w:pPr>
        <w:pStyle w:val="Heading1"/>
      </w:pPr>
      <w:r>
        <w:t>证据指针</w:t>
      </w:r>
    </w:p>
    <w:p>
      <w:r>
        <w:t>证据-0002（pytest 696 passed）、证据-0003（accept 16 PASS）、证据-0006（模板 37/37）。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