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31-测试计划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v0-draft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草稿 / 生效 / 作废</w:t>
            </w:r>
          </w:p>
        </w:tc>
      </w:tr>
    </w:tbl>
    <w:p/>
    <w:p>
      <w:pPr>
        <w:pStyle w:val="Heading1"/>
      </w:pPr>
      <w:r>
        <w:t>1. 摘要</w:t>
      </w:r>
    </w:p>
    <w:p>
      <w:r>
        <w:t>一段话说清本次测什么、验收到哪一步。</w:t>
      </w:r>
    </w:p>
    <w:p>
      <w:pPr>
        <w:pStyle w:val="Heading1"/>
      </w:pPr>
      <w:r>
        <w:t>2. 测试范围与不测范围</w:t>
      </w:r>
    </w:p>
    <w:p>
      <w:r>
        <w:t>做什么 / 明确不做什么；不测的要写原因与风险接受人。</w:t>
      </w:r>
    </w:p>
    <w:p>
      <w:pPr>
        <w:pStyle w:val="Heading1"/>
      </w:pPr>
      <w:r>
        <w:t>3. 测试策略</w:t>
      </w:r>
    </w:p>
    <w:p>
      <w:r>
        <w:t>单测 / 集成 / 验收 / 专项各自怎么测、判定口径是什么。</w:t>
      </w:r>
    </w:p>
    <w:p>
      <w:pPr>
        <w:pStyle w:val="Heading1"/>
      </w:pPr>
      <w:r>
        <w:t>4. 环境与数据</w:t>
      </w:r>
    </w:p>
    <w:p>
      <w:r>
        <w:t>环境、版本、测试数据来源与脱敏方式。</w:t>
      </w:r>
    </w:p>
    <w:p>
      <w:pPr>
        <w:pStyle w:val="Heading1"/>
      </w:pPr>
      <w:r>
        <w:t>5. 覆盖目标与退出准则</w:t>
      </w:r>
    </w:p>
    <w:p>
      <w:r>
        <w:t>可数的目标：覆盖哪些验收标准、缺陷关闭门槛、性能余量阈值。</w:t>
      </w:r>
    </w:p>
    <w:p>
      <w:pPr>
        <w:pStyle w:val="Heading1"/>
      </w:pPr>
      <w:r>
        <w:t>6. 进度与责任</w:t>
      </w:r>
    </w:p>
    <w:p>
      <w:r>
        <w:t>按切片列测试窗口与负责人；阻塞时谁来决策。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时间窗口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880"/>
          </w:tcPr>
          <w:p>
            <w:r>
              <w:t>单元测试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验收测试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专项测试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7. 风险</w:t>
      </w:r>
    </w:p>
    <w:p>
      <w:r>
        <w:t>测试本身的风险：环境不稳、数据不足、时间不够。</w:t>
      </w:r>
    </w:p>
    <w:p>
      <w:pPr>
        <w:pStyle w:val="Heading1"/>
      </w:pPr>
      <w:r>
        <w:t>8. 证据指针</w:t>
      </w:r>
    </w:p>
    <w:p>
      <w:r>
        <w:t>证据-0001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