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comparativo de los SRS del equipo</w:t>
      </w:r>
    </w:p>
    <w:p>
      <w:pPr>
        <w:spacing w:after="240"/>
      </w:pPr>
      <w:r>
        <w:t>Actividad en equipo  |  Plataforma de Arquitectura Empresarial</w:t>
      </w:r>
    </w:p>
    <w:p>
      <w:pPr/>
      <w:r>
        <w:t>Este documento compara los tres SRS de la actividad anterior para identificar los requisitos compartidos, los que aparecen solo en algunas versiones y las decisiones incompatibles. El equipo ya comparte el núcleo de una plataforma web para capturar y consultar relaciones. Antes de integrar una especificación única debe acordar las reglas de acceso, autenticación, aprobación de relaciones y eliminación.</w:t>
      </w:r>
    </w:p>
    <w:p>
      <w:pPr>
        <w:pStyle w:val="Heading1"/>
      </w:pPr>
      <w:r>
        <w:t>Documentos comparados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16"/>
        <w:gridCol w:w="4032"/>
      </w:tblGrid>
      <w:tr>
        <w:trPr>
          <w:tblHeader w:val="true"/>
        </w:trPr>
        <w:tc>
          <w:tcPr>
            <w:tcW w:type="dxa" w:w="1944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Identificador usado</w:t>
            </w:r>
          </w:p>
        </w:tc>
        <w:tc>
          <w:tcPr>
            <w:tcW w:type="dxa" w:w="3816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4032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Autor o referencia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SRS Gregorio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S02_A1/SRS_final.md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Gregorio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SRS Liciel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Downloads/SRS_final.md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Liciel Reyes Ávila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SRS Jean Paul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Downloads/SRS_final-2.md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Jean Paul Lozano Gámiz</w:t>
            </w:r>
          </w:p>
        </w:tc>
      </w:tr>
    </w:tbl>
    <w:p>
      <w:pPr>
        <w:spacing w:after="0"/>
      </w:pPr>
    </w:p>
    <w:p>
      <w:r>
        <w:t>La comparación se basa en el comportamiento descrito y sus criterios de aceptación, no en la coincidencia de números RF: los identificadores RF se usan para funciones diferentes en cada SRS. Cuando un documento deja una regla pendiente, se indica como tal.</w:t>
      </w:r>
    </w:p>
    <w:p>
      <w:pPr>
        <w:pStyle w:val="Heading1"/>
      </w:pPr>
      <w:r>
        <w:t>1 Requerimientos con consenso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76"/>
        <w:gridCol w:w="1224"/>
        <w:gridCol w:w="1224"/>
        <w:gridCol w:w="1368"/>
      </w:tblGrid>
      <w:tr>
        <w:trPr>
          <w:tblHeader w:val="true"/>
        </w:trPr>
        <w:tc>
          <w:tcPr>
            <w:tcW w:type="dxa" w:w="5976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 compartido</w:t>
            </w:r>
          </w:p>
        </w:tc>
        <w:tc>
          <w:tcPr>
            <w:tcW w:type="dxa" w:w="1224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Gregorio</w:t>
            </w:r>
          </w:p>
        </w:tc>
        <w:tc>
          <w:tcPr>
            <w:tcW w:type="dxa" w:w="1224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Liciel</w:t>
            </w:r>
          </w:p>
        </w:tc>
        <w:tc>
          <w:tcPr>
            <w:tcW w:type="dxa" w:w="1368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Jean Paul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Aplicación web para registrar y consultar arquitectura empresarial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§1.2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§1.2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§1.3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Inicio y cierre de sesión con control de acceso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RF-01, RF-17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RF-01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RF-13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Configuración de capas o estructuras desde la interfaz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RF-03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RF-03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RF-01, RF-02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Campos configurables: texto, número, fecha y selección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RF-05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RF-05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RF-03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Alta y modificación de elementos con validación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RF-07, RF-08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RF-06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RF-05, RF-08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Tipos de relación y vínculos dirigidos entre elementos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RF-09, RF-16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RF-08, RF-09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RF-06, RF-07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Vista visual y consulta de detalles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RF-12, RF-14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RF-10, RF-11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RF-09, RF-10</w:t>
            </w:r>
          </w:p>
        </w:tc>
      </w:tr>
      <w:tr>
        <w:trPr>
          <w:cantSplit/>
        </w:trPr>
        <w:tc>
          <w:tcPr>
            <w:tcW w:type="dxa" w:w="5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Conservación de datos entre sesiones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RF-15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§2.1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RNF-03</w:t>
            </w:r>
          </w:p>
        </w:tc>
      </w:tr>
    </w:tbl>
    <w:p>
      <w:pPr>
        <w:spacing w:after="0"/>
      </w:pPr>
    </w:p>
    <w:p>
      <w:r>
        <w:t>Los tres SRS también prevén datos ficticios para la demostración y excluyen de la primera versión la integración automática con sistemas empresariales y la inteligencia artificial. El consenso cubre la intención general; las reglas específicas se comparan más adelante.</w:t>
      </w:r>
    </w:p>
    <w:p>
      <w:pPr>
        <w:pStyle w:val="Heading1"/>
      </w:pPr>
      <w:r>
        <w:t>2 Requerimientos identificados solo en algunas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848"/>
      </w:tblGrid>
      <w:tr>
        <w:trPr>
          <w:tblHeader w:val="true"/>
        </w:trPr>
        <w:tc>
          <w:tcPr>
            <w:tcW w:type="dxa" w:w="1944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Versión o versiones</w:t>
            </w:r>
          </w:p>
        </w:tc>
        <w:tc>
          <w:tcPr>
            <w:tcW w:type="dxa" w:w="7848"/>
            <w:shd w:fill="263D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Requerimiento adicional o gap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Gregorio y Liciel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Búsqueda general de elementos por nombre. Gregorio RF-11; Liciel RF-07. Jean Paul solo exige localizar un elemento de partida para el mapa.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Gregorio y Liciel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Filtros de la vista visual por capa y tipo de elemento. Gregorio RF-13; Liciel RF-12. Jean Paul define un cruce seleccionado, sin el mismo comportamiento de filtros.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Liciel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Paginación del listado, filtro por tipo de relación y profundidad del grafo. RF-07, RF-11 y RF-12.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Liciel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Estado vigente, planeada o retirada de relaciones, baja lógica y reactivación de elementos. RF-17 y RF-18.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Liciel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Trazabilidad de creador y modificador, fechas y bitácora inmutable con valores anteriores y nuevos. RF-15 y RF-20.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Liciel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Función administrada para cargar un conjunto mínimo de datos ficticios. RF-14. Los demás SRS exigen la demostración con datos ficticios, pero no esa función.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Jean Paul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Perspectivas, subniveles jerárquicos y campos propios de la estructura además de los campos de elementos. RF-01 a RF-04.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Jean Paul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Propuestas de relaciones con aprobación o rechazo, y conservación de la versión vigente durante la decisión. RF-07, RF-11 y RF-12.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Jean Paul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Permisos de consulta y modificación sobre elementos concretos, con facultades acumulables. RF-14.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Jean Paul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  <w:shd w:fill="F1F5F8"/>
          </w:tcPr>
          <w:p>
            <w:pPr>
              <w:spacing w:after="0" w:line="259" w:lineRule="auto"/>
            </w:pPr>
            <w:r>
              <w:rPr>
                <w:sz w:val="17"/>
              </w:rPr>
              <w:t>Reasignación de los extremos de una relación mediante propuesta aprobada. RF-15.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Gregorio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sz w:val="17"/>
              </w:rPr>
              <w:t>Búsqueda que permite nombres repetidos y muestra un identificador para distinguirlos; reglas explícitas de espacios, mayúsculas y acentos. §2.4 y RF-11.</w:t>
            </w:r>
          </w:p>
        </w:tc>
      </w:tr>
    </w:tbl>
    <w:p>
      <w:pPr>
        <w:spacing w:after="0"/>
      </w:pPr>
    </w:p>
    <w:p>
      <w:pPr>
        <w:pStyle w:val="Heading1"/>
      </w:pPr>
      <w:r>
        <w:t>3 Conflictos que requieren acuerdo</w:t>
      </w:r>
    </w:p>
    <w:p>
      <w:pPr>
        <w:keepLines/>
      </w:pPr>
      <w:r>
        <w:rPr>
          <w:b/>
        </w:rPr>
        <w:t xml:space="preserve">Modelo de roles. </w:t>
      </w:r>
      <w:r>
        <w:t>Gregorio define tres roles fijos, uno por cuenta, y el Administrador no hereda captura ni consulta general (§2.3–2.4). Liciel conserva tres roles, pero el Administrador sí hereda las funciones de Editor y Consulta (§2.3). Jean Paul propone roles configurables y facultades acumulables (§2.3, RF-14).</w:t>
      </w:r>
    </w:p>
    <w:p>
      <w:pPr>
        <w:keepLines/>
      </w:pPr>
      <w:r>
        <w:rPr>
          <w:b/>
        </w:rPr>
        <w:t xml:space="preserve">Alcance de permisos. </w:t>
      </w:r>
      <w:r>
        <w:t>Gregorio no contempla restricciones por capa o elemento (§2.3). Liciel restringe la edición del Editor a capas asignadas y permite consultar todos los elementos a cualquier usuario autenticado (RF-19, RD-06). Jean Paul permite restringir consulta y modificación por elemento (RF-09, RF-14, RNF-02).</w:t>
      </w:r>
    </w:p>
    <w:p>
      <w:pPr>
        <w:keepLines/>
      </w:pPr>
      <w:r>
        <w:rPr>
          <w:b/>
        </w:rPr>
        <w:t xml:space="preserve">Autenticación y cuentas. </w:t>
      </w:r>
      <w:r>
        <w:t>Gregorio usa credenciales individuales y un procedimiento técnico para aprovisionamiento y restablecimiento, fuera de la interfaz (§2.4). Liciel propone autenticación local y gestión de usuarios y contraseñas por el Administrador en la aplicación (RF-01, RF-02, RF-16). Jean Paul requiere proveedor de identidad corporativo y selecciona Google para el demo (RF-13, §2.4).</w:t>
      </w:r>
    </w:p>
    <w:p>
      <w:pPr>
        <w:keepLines/>
      </w:pPr>
      <w:r>
        <w:rPr>
          <w:b/>
        </w:rPr>
        <w:t xml:space="preserve">Registro y cambios de relaciones. </w:t>
      </w:r>
      <w:r>
        <w:t>Gregorio y Liciel permiten al Editor autorizado guardar relaciones o cambios directamente (Gregorio RF-09–RF-10; Liciel RF-09, RF-17). Jean Paul exige facultad de validación y una nueva aprobación explícita para cambiar un vínculo vigente; la propuesta no altera la versión publicada (RF-07, RF-11–RF-12).</w:t>
      </w:r>
    </w:p>
    <w:p>
      <w:pPr>
        <w:keepLines/>
      </w:pPr>
      <w:r>
        <w:rPr>
          <w:b/>
        </w:rPr>
        <w:t xml:space="preserve">Justificación de relaciones. </w:t>
      </w:r>
      <w:r>
        <w:t>Liciel exige un texto justificativo de 10 a 500 caracteres para cada relación (RF-09, RD-02). Gregorio pide una razón de negocio explicable, sin imponer un campo obligatorio (§2.4, RD-04–RD-05). Jean Paul supedita su obligatoriedad a los campos configurados (RD-04).</w:t>
      </w:r>
    </w:p>
    <w:p>
      <w:pPr>
        <w:keepLines/>
      </w:pPr>
      <w:r>
        <w:rPr>
          <w:b/>
        </w:rPr>
        <w:t xml:space="preserve">Relaciones permitidas. </w:t>
      </w:r>
      <w:r>
        <w:t>Gregorio admite relacionar elementos de cualquier tipo o capa mediante un tipo configurado (§2.4, RF-09). Liciel vincula cada tipo de relación a tipos de elemento de origen y destino y rechaza combinaciones no autorizadas (RF-08–RF-09). Jean Paul deja la compatibilidad de extremos y los duplicados por precisar (§6.1, D-02).</w:t>
      </w:r>
    </w:p>
    <w:p>
      <w:pPr>
        <w:keepLines/>
      </w:pPr>
      <w:r>
        <w:rPr>
          <w:b/>
        </w:rPr>
        <w:t xml:space="preserve">Eliminación. </w:t>
      </w:r>
      <w:r>
        <w:t>Gregorio excluye eliminar elementos, capas, tipos y vínculos (§2.4). Liciel permite eliminación definitiva administrada; al eliminar un elemento confirmado elimina sus relaciones (RF-13). Jean Paul permite eliminar ciertas estructuras y tipos solo sin dependencias y prohíbe borrados en cascada (RF-16, RD-03).</w:t>
      </w:r>
    </w:p>
    <w:p>
      <w:pPr>
        <w:keepLines/>
      </w:pPr>
      <w:r>
        <w:rPr>
          <w:b/>
        </w:rPr>
        <w:t xml:space="preserve">Cambios de campos con datos. </w:t>
      </w:r>
      <w:r>
        <w:t>Gregorio bloquea cambios estructurales si el tipo tiene elementos (§2.4, RF-05). Liciel permite agregar campos obligatorios y desactivar campos con valores conservando los datos (RF-05). Jean Paul deja pendientes las reglas para definiciones utilizadas (§6.1, D-01).</w:t>
      </w:r>
    </w:p>
    <w:p>
      <w:pPr>
        <w:keepLines/>
      </w:pPr>
      <w:r>
        <w:rPr>
          <w:b/>
        </w:rPr>
        <w:t xml:space="preserve">Nombres de elementos. </w:t>
      </w:r>
      <w:r>
        <w:t>Gregorio permite nombres repetidos y usa identificadores para distinguirlos (§2.4, RF-11). Liciel exige nombre único dentro del mismo tipo (RF-06). Jean Paul no fija una regla equivalente.</w:t>
      </w:r>
    </w:p>
    <w:p>
      <w:pPr>
        <w:keepLines/>
      </w:pPr>
      <w:r>
        <w:rPr>
          <w:b/>
        </w:rPr>
        <w:t xml:space="preserve">Tipos de campo. </w:t>
      </w:r>
      <w:r>
        <w:t>Gregorio requiere cuatro tipos predefinidos: texto, número, fecha y lista de opciones (RF-05). Liciel exige siete, incluidos sí/no y referencia a usuario (RF-05). Jean Paul confirma cuatro tipos iniciales y deja abierta parte de la evolución de definiciones (RF-03, §6.1).</w:t>
      </w:r>
    </w:p>
    <w:p>
      <w:pPr>
        <w:keepLines/>
      </w:pPr>
      <w:r>
        <w:rPr>
          <w:b/>
        </w:rPr>
        <w:t xml:space="preserve">Rendimiento. </w:t>
      </w:r>
      <w:r>
        <w:t>Gregorio exige hasta 3 segundos por operación con 1,000 elementos, 3,000 relaciones y 10 usuarios (RNF-03). Liciel exige hasta 3 segundos para una vista de hasta 100 nodos con 20 usuarios (RNF-04–RNF-05). Jean Paul exige 2 segundos para cruces de hasta 10 elementos visibles con 20 usuarios (RNF-01, §3.4). Son perfiles distintos y no constituyen una prueba común.</w:t>
      </w:r>
    </w:p>
    <w:p>
      <w:pPr>
        <w:pStyle w:val="Heading1"/>
      </w:pPr>
      <w:r>
        <w:t>4 Decisiones prioritarias para la versión conjunta</w:t>
      </w:r>
    </w:p>
    <w:p>
      <w:pPr>
        <w:keepLines/>
      </w:pPr>
      <w:r>
        <w:rPr>
          <w:b/>
        </w:rPr>
        <w:t xml:space="preserve">1. Roles y visibilidad. </w:t>
      </w:r>
      <w:r>
        <w:t>Elegir si los roles serán fijos o configurables, si acumulan facultades y si el acceso se limita por capa o por elemento.</w:t>
      </w:r>
    </w:p>
    <w:p>
      <w:pPr>
        <w:keepLines/>
      </w:pPr>
      <w:r>
        <w:rPr>
          <w:b/>
        </w:rPr>
        <w:t xml:space="preserve">2. Autenticación. </w:t>
      </w:r>
      <w:r>
        <w:t>Elegir entre cuentas locales, aprovisionamiento técnico o proveedor corporativo; definir cómo se crean y recuperan cuentas.</w:t>
      </w:r>
    </w:p>
    <w:p>
      <w:pPr>
        <w:keepLines/>
      </w:pPr>
      <w:r>
        <w:rPr>
          <w:b/>
        </w:rPr>
        <w:t xml:space="preserve">3. Relaciones. </w:t>
      </w:r>
      <w:r>
        <w:t>Acordar quién puede crear, modificar y validar vínculos, si la justificación es obligatoria y qué combinaciones de extremos se admiten.</w:t>
      </w:r>
    </w:p>
    <w:p>
      <w:pPr>
        <w:keepLines/>
      </w:pPr>
      <w:r>
        <w:rPr>
          <w:b/>
        </w:rPr>
        <w:t xml:space="preserve">4. Conservación y eliminación. </w:t>
      </w:r>
      <w:r>
        <w:t>Acordar si habrá baja lógica y eliminación definitiva, y qué ocurrirá con relaciones y datos dependientes.</w:t>
      </w:r>
    </w:p>
    <w:p>
      <w:pPr>
        <w:keepLines/>
      </w:pPr>
      <w:r>
        <w:rPr>
          <w:b/>
        </w:rPr>
        <w:t xml:space="preserve">5. Alcance verificable. </w:t>
      </w:r>
      <w:r>
        <w:t>Resolver campos con datos existentes, nombres repetidos, filtros y un único perfil de rendimiento para la primera entrega.</w:t>
      </w:r>
    </w:p>
    <w:p>
      <w:r>
        <w:t>Las reglas que Jean Paul señala como pendientes deben conservar ese estado hasta que el equipo las confirme. Al cerrar cada decisión, conviene actualizar el SRS conjunto y sus criterios de aceptación con identificadores propios y estables.</w:t>
      </w:r>
    </w:p>
    <w:p>
      <w:pPr>
        <w:pStyle w:val="Heading1"/>
      </w:pPr>
      <w:r>
        <w:t>Fuentes</w:t>
      </w:r>
    </w:p>
    <w:p>
      <w:r>
        <w:rPr>
          <w:b/>
        </w:rPr>
        <w:t xml:space="preserve">SRS Gregorio: </w:t>
      </w:r>
      <w:r>
        <w:t>S02_A1/SRS_final.md</w:t>
      </w:r>
    </w:p>
    <w:p>
      <w:r>
        <w:rPr>
          <w:b/>
        </w:rPr>
        <w:t xml:space="preserve">SRS Liciel: </w:t>
      </w:r>
      <w:r>
        <w:t>SRS_final.md, versión 1.1, 27 de septiembre de 2026</w:t>
      </w:r>
    </w:p>
    <w:p>
      <w:r>
        <w:rPr>
          <w:b/>
        </w:rPr>
        <w:t xml:space="preserve">SRS Jean Paul: </w:t>
      </w:r>
      <w:r>
        <w:t>SRS_final-2.md, versión 1.1, 25 de septiembre de 2026</w:t>
      </w:r>
    </w:p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