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6C1" w:rsidRPr="008D7E0B" w:rsidRDefault="00073BA9">
      <w:pPr>
        <w:rPr>
          <w:b/>
          <w:sz w:val="28"/>
          <w:szCs w:val="28"/>
          <w:lang w:val="en-US"/>
        </w:rPr>
      </w:pPr>
      <w:bookmarkStart w:id="0" w:name="_GoBack"/>
      <w:bookmarkEnd w:id="0"/>
      <w:r w:rsidRPr="008D7E0B">
        <w:rPr>
          <w:b/>
          <w:sz w:val="28"/>
          <w:szCs w:val="28"/>
          <w:lang w:val="en-US"/>
        </w:rPr>
        <w:t>Working Paper CLIO-INFRA</w:t>
      </w:r>
      <w:r w:rsidR="00804DEB">
        <w:rPr>
          <w:b/>
          <w:sz w:val="28"/>
          <w:szCs w:val="28"/>
          <w:lang w:val="en-US"/>
        </w:rPr>
        <w:t xml:space="preserve">: </w:t>
      </w:r>
      <w:r w:rsidR="004B615D">
        <w:rPr>
          <w:b/>
          <w:sz w:val="28"/>
          <w:szCs w:val="28"/>
          <w:lang w:val="en-US"/>
        </w:rPr>
        <w:t>Educational inequality</w:t>
      </w:r>
    </w:p>
    <w:p w:rsidR="0022249F" w:rsidRPr="00E42E4F" w:rsidRDefault="0022249F" w:rsidP="0022249F">
      <w:pPr>
        <w:rPr>
          <w:lang w:val="en-US"/>
        </w:rPr>
      </w:pPr>
      <w:r w:rsidRPr="00E42E4F">
        <w:rPr>
          <w:lang w:val="en-US"/>
        </w:rPr>
        <w:t>1. Title</w:t>
      </w:r>
    </w:p>
    <w:p w:rsidR="00E42E4F" w:rsidRDefault="00E42E4F" w:rsidP="0022249F">
      <w:pPr>
        <w:rPr>
          <w:lang w:val="en-US"/>
        </w:rPr>
      </w:pPr>
      <w:r>
        <w:rPr>
          <w:lang w:val="en-US"/>
        </w:rPr>
        <w:tab/>
        <w:t xml:space="preserve">- </w:t>
      </w:r>
      <w:r w:rsidR="007B3DF1">
        <w:rPr>
          <w:lang w:val="en-US"/>
        </w:rPr>
        <w:t>Educational inequality</w:t>
      </w:r>
      <w:r>
        <w:rPr>
          <w:lang w:val="en-US"/>
        </w:rPr>
        <w:t>.</w:t>
      </w:r>
    </w:p>
    <w:p w:rsidR="0022249F" w:rsidRPr="00866736" w:rsidRDefault="0022249F" w:rsidP="0022249F">
      <w:pPr>
        <w:rPr>
          <w:lang w:val="en-US"/>
        </w:rPr>
      </w:pPr>
      <w:r w:rsidRPr="00866736">
        <w:rPr>
          <w:lang w:val="en-US"/>
        </w:rPr>
        <w:t>2. Author</w:t>
      </w:r>
      <w:r w:rsidR="00E42E4F" w:rsidRPr="00866736">
        <w:rPr>
          <w:lang w:val="en-US"/>
        </w:rPr>
        <w:t>(s)</w:t>
      </w:r>
    </w:p>
    <w:p w:rsidR="00DF2464" w:rsidRPr="00804DEB" w:rsidRDefault="00DF2464" w:rsidP="0018359E">
      <w:r w:rsidRPr="00866736">
        <w:rPr>
          <w:lang w:val="en-US"/>
        </w:rPr>
        <w:tab/>
      </w:r>
      <w:r w:rsidRPr="00804DEB">
        <w:t xml:space="preserve">- </w:t>
      </w:r>
      <w:r w:rsidR="00804DEB" w:rsidRPr="00804DEB">
        <w:t xml:space="preserve">Bas van Leeuwen, Jieli </w:t>
      </w:r>
      <w:r w:rsidR="00804DEB">
        <w:t>van Leeuwen-</w:t>
      </w:r>
      <w:r w:rsidR="00804DEB" w:rsidRPr="00804DEB">
        <w:t>Li, and Peter Foldvari</w:t>
      </w:r>
    </w:p>
    <w:p w:rsidR="0022249F" w:rsidRPr="00E42E4F" w:rsidRDefault="00DF2464" w:rsidP="0022249F">
      <w:pPr>
        <w:rPr>
          <w:lang w:val="en-US"/>
        </w:rPr>
      </w:pPr>
      <w:r>
        <w:rPr>
          <w:lang w:val="en-US"/>
        </w:rPr>
        <w:t>3</w:t>
      </w:r>
      <w:r w:rsidR="0022249F" w:rsidRPr="00E42E4F">
        <w:rPr>
          <w:lang w:val="en-US"/>
        </w:rPr>
        <w:t>. Production date</w:t>
      </w:r>
    </w:p>
    <w:p w:rsidR="00DF2464" w:rsidRDefault="00DF2464" w:rsidP="0022249F">
      <w:pPr>
        <w:rPr>
          <w:lang w:val="en-US"/>
        </w:rPr>
      </w:pPr>
      <w:r>
        <w:rPr>
          <w:lang w:val="en-US"/>
        </w:rPr>
        <w:tab/>
        <w:t xml:space="preserve">- </w:t>
      </w:r>
      <w:r w:rsidR="00B924B1">
        <w:rPr>
          <w:lang w:val="en-US"/>
        </w:rPr>
        <w:t>18</w:t>
      </w:r>
      <w:r w:rsidR="00471780">
        <w:rPr>
          <w:lang w:val="en-US"/>
        </w:rPr>
        <w:t>-3-2013</w:t>
      </w:r>
    </w:p>
    <w:p w:rsidR="0022249F" w:rsidRPr="00E42E4F" w:rsidRDefault="008D7E0B" w:rsidP="0022249F">
      <w:pPr>
        <w:rPr>
          <w:lang w:val="en-US"/>
        </w:rPr>
      </w:pPr>
      <w:r>
        <w:rPr>
          <w:lang w:val="en-US"/>
        </w:rPr>
        <w:t>4</w:t>
      </w:r>
      <w:r w:rsidR="0022249F" w:rsidRPr="00E42E4F">
        <w:rPr>
          <w:lang w:val="en-US"/>
        </w:rPr>
        <w:t>. Version</w:t>
      </w:r>
    </w:p>
    <w:p w:rsidR="008D7E0B" w:rsidRDefault="008D7E0B" w:rsidP="0022249F">
      <w:pPr>
        <w:rPr>
          <w:lang w:val="en-US"/>
        </w:rPr>
      </w:pPr>
      <w:r>
        <w:rPr>
          <w:lang w:val="en-US"/>
        </w:rPr>
        <w:tab/>
        <w:t xml:space="preserve">- </w:t>
      </w:r>
      <w:r w:rsidR="00B924B1">
        <w:rPr>
          <w:lang w:val="en-US"/>
        </w:rPr>
        <w:t>1st</w:t>
      </w:r>
      <w:r w:rsidR="002C765E">
        <w:rPr>
          <w:lang w:val="en-US"/>
        </w:rPr>
        <w:t xml:space="preserve"> version</w:t>
      </w:r>
      <w:r>
        <w:rPr>
          <w:lang w:val="en-US"/>
        </w:rPr>
        <w:t>.</w:t>
      </w:r>
    </w:p>
    <w:p w:rsidR="0022249F" w:rsidRPr="00E42E4F" w:rsidRDefault="008D7E0B" w:rsidP="0022249F">
      <w:pPr>
        <w:rPr>
          <w:lang w:val="en-US"/>
        </w:rPr>
      </w:pPr>
      <w:r>
        <w:rPr>
          <w:lang w:val="en-US"/>
        </w:rPr>
        <w:t>5</w:t>
      </w:r>
      <w:r w:rsidR="0022249F" w:rsidRPr="00E42E4F">
        <w:rPr>
          <w:lang w:val="en-US"/>
        </w:rPr>
        <w:t>. Variable group</w:t>
      </w:r>
      <w:r>
        <w:rPr>
          <w:lang w:val="en-US"/>
        </w:rPr>
        <w:t>(s)</w:t>
      </w:r>
    </w:p>
    <w:p w:rsidR="008D7E0B" w:rsidRDefault="008D7E0B" w:rsidP="0022249F">
      <w:pPr>
        <w:rPr>
          <w:lang w:val="en-US"/>
        </w:rPr>
      </w:pPr>
      <w:r>
        <w:rPr>
          <w:lang w:val="en-US"/>
        </w:rPr>
        <w:tab/>
        <w:t xml:space="preserve">- </w:t>
      </w:r>
      <w:r w:rsidR="00804DEB">
        <w:rPr>
          <w:lang w:val="en-US"/>
        </w:rPr>
        <w:t>Human capital.</w:t>
      </w:r>
    </w:p>
    <w:p w:rsidR="0022249F" w:rsidRDefault="008D7E0B" w:rsidP="0022249F">
      <w:pPr>
        <w:rPr>
          <w:lang w:val="en-US"/>
        </w:rPr>
      </w:pPr>
      <w:r>
        <w:rPr>
          <w:lang w:val="en-US"/>
        </w:rPr>
        <w:t>6</w:t>
      </w:r>
      <w:r w:rsidR="0022249F" w:rsidRPr="00E42E4F">
        <w:rPr>
          <w:lang w:val="en-US"/>
        </w:rPr>
        <w:t>. Variable</w:t>
      </w:r>
      <w:r>
        <w:rPr>
          <w:lang w:val="en-US"/>
        </w:rPr>
        <w:t>(s)</w:t>
      </w:r>
    </w:p>
    <w:p w:rsidR="008D7E0B" w:rsidRPr="00E42E4F" w:rsidRDefault="008D7E0B" w:rsidP="00B924B1">
      <w:pPr>
        <w:rPr>
          <w:lang w:val="en-US"/>
        </w:rPr>
      </w:pPr>
      <w:r>
        <w:rPr>
          <w:lang w:val="en-US"/>
        </w:rPr>
        <w:tab/>
        <w:t>-</w:t>
      </w:r>
      <w:r w:rsidR="00B924B1">
        <w:rPr>
          <w:lang w:val="en-US"/>
        </w:rPr>
        <w:t>Educational inequality by country</w:t>
      </w:r>
      <w:r w:rsidR="004C280F">
        <w:rPr>
          <w:lang w:val="en-US"/>
        </w:rPr>
        <w:t xml:space="preserve"> – </w:t>
      </w:r>
      <w:r w:rsidR="00B924B1">
        <w:rPr>
          <w:lang w:val="en-US"/>
        </w:rPr>
        <w:t>The Gini (=a measure of inequality) of education in the total population o</w:t>
      </w:r>
      <w:r w:rsidR="00804DEB">
        <w:rPr>
          <w:lang w:val="en-US"/>
        </w:rPr>
        <w:t>f 15 years and</w:t>
      </w:r>
      <w:r w:rsidR="00B924B1">
        <w:rPr>
          <w:lang w:val="en-US"/>
        </w:rPr>
        <w:t xml:space="preserve"> </w:t>
      </w:r>
      <w:r w:rsidR="00804DEB">
        <w:rPr>
          <w:lang w:val="en-US"/>
        </w:rPr>
        <w:t>older</w:t>
      </w:r>
      <w:r>
        <w:rPr>
          <w:lang w:val="en-US"/>
        </w:rPr>
        <w:t>.</w:t>
      </w:r>
    </w:p>
    <w:p w:rsidR="0022249F" w:rsidRPr="00E42E4F" w:rsidRDefault="008D7E0B" w:rsidP="0022249F">
      <w:pPr>
        <w:rPr>
          <w:lang w:val="en-US"/>
        </w:rPr>
      </w:pPr>
      <w:r>
        <w:rPr>
          <w:lang w:val="en-US"/>
        </w:rPr>
        <w:t>7</w:t>
      </w:r>
      <w:r w:rsidR="0022249F" w:rsidRPr="00E42E4F">
        <w:rPr>
          <w:lang w:val="en-US"/>
        </w:rPr>
        <w:t>. Unit of analysis</w:t>
      </w:r>
    </w:p>
    <w:p w:rsidR="008D7E0B" w:rsidRDefault="00E3589C" w:rsidP="0018359E">
      <w:pPr>
        <w:rPr>
          <w:lang w:val="en-US"/>
        </w:rPr>
      </w:pPr>
      <w:r>
        <w:rPr>
          <w:lang w:val="en-US"/>
        </w:rPr>
        <w:tab/>
        <w:t xml:space="preserve">- </w:t>
      </w:r>
      <w:r w:rsidR="00B924B1">
        <w:rPr>
          <w:lang w:val="en-US"/>
        </w:rPr>
        <w:t>Gini</w:t>
      </w:r>
      <w:r>
        <w:rPr>
          <w:lang w:val="en-US"/>
        </w:rPr>
        <w:t>.</w:t>
      </w:r>
    </w:p>
    <w:p w:rsidR="0022249F" w:rsidRDefault="00E3589C" w:rsidP="0022249F">
      <w:pPr>
        <w:rPr>
          <w:lang w:val="en-US"/>
        </w:rPr>
      </w:pPr>
      <w:r>
        <w:rPr>
          <w:lang w:val="en-US"/>
        </w:rPr>
        <w:t>8</w:t>
      </w:r>
      <w:r w:rsidR="0022249F" w:rsidRPr="00E42E4F">
        <w:rPr>
          <w:lang w:val="en-US"/>
        </w:rPr>
        <w:t>. Keywords (5)</w:t>
      </w:r>
    </w:p>
    <w:p w:rsidR="00E3589C" w:rsidRPr="00E42E4F" w:rsidRDefault="00E3589C" w:rsidP="0022249F">
      <w:pPr>
        <w:rPr>
          <w:lang w:val="en-US"/>
        </w:rPr>
      </w:pPr>
      <w:r>
        <w:rPr>
          <w:lang w:val="en-US"/>
        </w:rPr>
        <w:tab/>
        <w:t xml:space="preserve">- </w:t>
      </w:r>
      <w:r w:rsidR="00804DEB">
        <w:rPr>
          <w:lang w:val="en-US"/>
        </w:rPr>
        <w:t>human capital, education, world</w:t>
      </w:r>
      <w:r w:rsidR="00B924B1">
        <w:rPr>
          <w:lang w:val="en-US"/>
        </w:rPr>
        <w:t>, inequality</w:t>
      </w:r>
      <w:r w:rsidR="00804DEB">
        <w:rPr>
          <w:lang w:val="en-US"/>
        </w:rPr>
        <w:t>.</w:t>
      </w:r>
    </w:p>
    <w:p w:rsidR="00E3589C" w:rsidRDefault="00E3589C" w:rsidP="0022249F">
      <w:pPr>
        <w:rPr>
          <w:lang w:val="en-US"/>
        </w:rPr>
      </w:pPr>
      <w:r>
        <w:rPr>
          <w:lang w:val="en-US"/>
        </w:rPr>
        <w:t>9</w:t>
      </w:r>
      <w:r w:rsidR="0022249F" w:rsidRPr="00E42E4F">
        <w:rPr>
          <w:lang w:val="en-US"/>
        </w:rPr>
        <w:t>. Abstract (200 words)</w:t>
      </w:r>
    </w:p>
    <w:p w:rsidR="00E3589C" w:rsidRDefault="00E3589C" w:rsidP="00D90C18">
      <w:pPr>
        <w:ind w:left="705"/>
        <w:rPr>
          <w:lang w:val="en-US"/>
        </w:rPr>
      </w:pPr>
      <w:r>
        <w:rPr>
          <w:lang w:val="en-US"/>
        </w:rPr>
        <w:t xml:space="preserve">- </w:t>
      </w:r>
      <w:r w:rsidR="00B924B1">
        <w:rPr>
          <w:lang w:val="en-US"/>
        </w:rPr>
        <w:t xml:space="preserve">The Gini of the spread of education </w:t>
      </w:r>
      <w:r w:rsidR="00804DEB">
        <w:rPr>
          <w:lang w:val="en-US"/>
        </w:rPr>
        <w:t>in the total population aged 15 years and older</w:t>
      </w:r>
      <w:r w:rsidR="00D90C18">
        <w:rPr>
          <w:lang w:val="en-US"/>
        </w:rPr>
        <w:t xml:space="preserve"> </w:t>
      </w:r>
      <w:r w:rsidR="00804DEB">
        <w:rPr>
          <w:lang w:val="en-US"/>
        </w:rPr>
        <w:t>is given annually for the period 1850-2010</w:t>
      </w:r>
      <w:r w:rsidR="00B924B1">
        <w:rPr>
          <w:lang w:val="en-US"/>
        </w:rPr>
        <w:t xml:space="preserve"> (the time period varies by country)</w:t>
      </w:r>
      <w:r w:rsidR="00804DEB">
        <w:rPr>
          <w:lang w:val="en-US"/>
        </w:rPr>
        <w:t xml:space="preserve">. </w:t>
      </w:r>
    </w:p>
    <w:p w:rsidR="0022249F" w:rsidRPr="00E42E4F" w:rsidRDefault="0022249F" w:rsidP="0022249F">
      <w:pPr>
        <w:rPr>
          <w:lang w:val="en-US"/>
        </w:rPr>
      </w:pPr>
      <w:r w:rsidRPr="00E42E4F">
        <w:rPr>
          <w:lang w:val="en-US"/>
        </w:rPr>
        <w:t>1</w:t>
      </w:r>
      <w:r w:rsidR="00C16C16">
        <w:rPr>
          <w:lang w:val="en-US"/>
        </w:rPr>
        <w:t>0</w:t>
      </w:r>
      <w:r w:rsidRPr="00E42E4F">
        <w:rPr>
          <w:lang w:val="en-US"/>
        </w:rPr>
        <w:t>. Time period</w:t>
      </w:r>
    </w:p>
    <w:p w:rsidR="00C16C16" w:rsidRDefault="00C16C16" w:rsidP="0022249F">
      <w:pPr>
        <w:rPr>
          <w:lang w:val="en-US"/>
        </w:rPr>
      </w:pPr>
      <w:r>
        <w:rPr>
          <w:lang w:val="en-US"/>
        </w:rPr>
        <w:tab/>
        <w:t xml:space="preserve">- </w:t>
      </w:r>
      <w:r w:rsidR="004C280F">
        <w:rPr>
          <w:lang w:val="en-US"/>
        </w:rPr>
        <w:t>1</w:t>
      </w:r>
      <w:r w:rsidR="00804DEB">
        <w:rPr>
          <w:lang w:val="en-US"/>
        </w:rPr>
        <w:t>8</w:t>
      </w:r>
      <w:r w:rsidR="004C280F">
        <w:rPr>
          <w:lang w:val="en-US"/>
        </w:rPr>
        <w:t>50</w:t>
      </w:r>
      <w:r w:rsidR="0018359E">
        <w:rPr>
          <w:lang w:val="en-US"/>
        </w:rPr>
        <w:t>-2000</w:t>
      </w:r>
      <w:r>
        <w:rPr>
          <w:lang w:val="en-US"/>
        </w:rPr>
        <w:t>.</w:t>
      </w:r>
    </w:p>
    <w:p w:rsidR="0022249F" w:rsidRPr="00E42E4F" w:rsidRDefault="0022249F" w:rsidP="0022249F">
      <w:pPr>
        <w:rPr>
          <w:lang w:val="en-US"/>
        </w:rPr>
      </w:pPr>
      <w:r w:rsidRPr="00E42E4F">
        <w:rPr>
          <w:lang w:val="en-US"/>
        </w:rPr>
        <w:t>1</w:t>
      </w:r>
      <w:r w:rsidR="00C16C16">
        <w:rPr>
          <w:lang w:val="en-US"/>
        </w:rPr>
        <w:t>1</w:t>
      </w:r>
      <w:r w:rsidRPr="00E42E4F">
        <w:rPr>
          <w:lang w:val="en-US"/>
        </w:rPr>
        <w:t>. Geographical coverage</w:t>
      </w:r>
    </w:p>
    <w:p w:rsidR="003132A6" w:rsidRDefault="003132A6" w:rsidP="00BA2BA6">
      <w:pPr>
        <w:rPr>
          <w:lang w:val="en-US"/>
        </w:rPr>
      </w:pPr>
      <w:r>
        <w:rPr>
          <w:lang w:val="en-US"/>
        </w:rPr>
        <w:tab/>
        <w:t xml:space="preserve">- </w:t>
      </w:r>
      <w:r w:rsidR="0018359E">
        <w:rPr>
          <w:lang w:val="en-US"/>
        </w:rPr>
        <w:t>Entire World</w:t>
      </w:r>
      <w:r>
        <w:rPr>
          <w:lang w:val="en-US"/>
        </w:rPr>
        <w:t>.</w:t>
      </w:r>
    </w:p>
    <w:p w:rsidR="00BA2BA6" w:rsidRPr="00E42E4F" w:rsidRDefault="00BA2BA6" w:rsidP="00BA2BA6">
      <w:pPr>
        <w:rPr>
          <w:lang w:val="en-US"/>
        </w:rPr>
      </w:pPr>
      <w:r w:rsidRPr="00E42E4F">
        <w:rPr>
          <w:lang w:val="en-US"/>
        </w:rPr>
        <w:t>1</w:t>
      </w:r>
      <w:r w:rsidR="003132A6">
        <w:rPr>
          <w:lang w:val="en-US"/>
        </w:rPr>
        <w:t>2</w:t>
      </w:r>
      <w:r w:rsidRPr="00E42E4F">
        <w:rPr>
          <w:lang w:val="en-US"/>
        </w:rPr>
        <w:t>. Methodologies used for data collection and processing</w:t>
      </w:r>
    </w:p>
    <w:p w:rsidR="00F42E54" w:rsidRDefault="003132A6" w:rsidP="00F42E54">
      <w:pPr>
        <w:ind w:left="705"/>
        <w:rPr>
          <w:lang w:val="en-US"/>
        </w:rPr>
      </w:pPr>
      <w:r>
        <w:rPr>
          <w:lang w:val="en-US"/>
        </w:rPr>
        <w:t xml:space="preserve">- </w:t>
      </w:r>
      <w:r w:rsidR="0018359E">
        <w:rPr>
          <w:lang w:val="en-US"/>
        </w:rPr>
        <w:t>Bibliographical</w:t>
      </w:r>
      <w:r w:rsidR="00B17D7A">
        <w:rPr>
          <w:lang w:val="en-US"/>
        </w:rPr>
        <w:t xml:space="preserve"> research</w:t>
      </w:r>
      <w:r w:rsidR="00F42E54">
        <w:rPr>
          <w:lang w:val="en-US"/>
        </w:rPr>
        <w:t xml:space="preserve">, research of published and Online </w:t>
      </w:r>
      <w:r w:rsidR="0018359E">
        <w:rPr>
          <w:lang w:val="en-US"/>
        </w:rPr>
        <w:t>Databases</w:t>
      </w:r>
      <w:r w:rsidR="00F42E54">
        <w:rPr>
          <w:lang w:val="en-US"/>
        </w:rPr>
        <w:t>, and cross-analysis of various datasets</w:t>
      </w:r>
    </w:p>
    <w:p w:rsidR="0022249F" w:rsidRPr="00E42E4F" w:rsidRDefault="003132A6" w:rsidP="0022249F">
      <w:pPr>
        <w:rPr>
          <w:lang w:val="en-US"/>
        </w:rPr>
      </w:pPr>
      <w:r>
        <w:rPr>
          <w:lang w:val="en-US"/>
        </w:rPr>
        <w:t>13</w:t>
      </w:r>
      <w:r w:rsidR="0022249F" w:rsidRPr="00E42E4F">
        <w:rPr>
          <w:lang w:val="en-US"/>
        </w:rPr>
        <w:t>. Data quality</w:t>
      </w:r>
    </w:p>
    <w:p w:rsidR="0022249F" w:rsidRPr="00E42E4F" w:rsidRDefault="003132A6" w:rsidP="0022249F">
      <w:pPr>
        <w:rPr>
          <w:lang w:val="en-US"/>
        </w:rPr>
      </w:pPr>
      <w:r>
        <w:rPr>
          <w:lang w:val="en-US"/>
        </w:rPr>
        <w:tab/>
      </w:r>
      <w:r w:rsidR="0022249F" w:rsidRPr="00E42E4F">
        <w:rPr>
          <w:lang w:val="en-US"/>
        </w:rPr>
        <w:tab/>
      </w:r>
      <w:r w:rsidR="00F42E54">
        <w:rPr>
          <w:lang w:val="en-US"/>
        </w:rPr>
        <w:t>i. Central statistical agencies</w:t>
      </w:r>
    </w:p>
    <w:p w:rsidR="0022249F" w:rsidRPr="00E42E4F" w:rsidRDefault="003132A6" w:rsidP="00B17D7A">
      <w:pPr>
        <w:rPr>
          <w:lang w:val="en-US"/>
        </w:rPr>
      </w:pPr>
      <w:r>
        <w:rPr>
          <w:lang w:val="en-US"/>
        </w:rPr>
        <w:tab/>
      </w:r>
      <w:r w:rsidR="00F42E54">
        <w:rPr>
          <w:lang w:val="en-US"/>
        </w:rPr>
        <w:tab/>
        <w:t>ii. Historical reconstructions</w:t>
      </w:r>
    </w:p>
    <w:p w:rsidR="0022249F" w:rsidRPr="00E42E4F" w:rsidRDefault="003132A6" w:rsidP="0022249F">
      <w:pPr>
        <w:rPr>
          <w:lang w:val="en-US"/>
        </w:rPr>
      </w:pPr>
      <w:r>
        <w:rPr>
          <w:lang w:val="en-US"/>
        </w:rPr>
        <w:tab/>
      </w:r>
      <w:r w:rsidR="00F42E54">
        <w:rPr>
          <w:lang w:val="en-US"/>
        </w:rPr>
        <w:tab/>
        <w:t>iii. Estimates</w:t>
      </w:r>
    </w:p>
    <w:p w:rsidR="0022249F" w:rsidRDefault="003132A6" w:rsidP="0022249F">
      <w:pPr>
        <w:rPr>
          <w:lang w:val="en-US"/>
        </w:rPr>
      </w:pPr>
      <w:r>
        <w:rPr>
          <w:lang w:val="en-US"/>
        </w:rPr>
        <w:tab/>
      </w:r>
      <w:r w:rsidR="0022249F" w:rsidRPr="00E42E4F">
        <w:rPr>
          <w:lang w:val="en-US"/>
        </w:rPr>
        <w:tab/>
        <w:t>iv. Conjectures</w:t>
      </w:r>
    </w:p>
    <w:p w:rsidR="00C809B2" w:rsidRDefault="00C809B2" w:rsidP="0022249F">
      <w:pPr>
        <w:rPr>
          <w:lang w:val="en-US"/>
        </w:rPr>
      </w:pPr>
      <w:r>
        <w:rPr>
          <w:lang w:val="en-US"/>
        </w:rPr>
        <w:t xml:space="preserve">Virtually all benchmark data after 1960 (i.e. 1960, 1970, 1980, 1990, 2000, and 2010) are derived indirectly from Central Statistical Agencies and therefore probably better classify as historical reconstructions. The remaining data are estimates. </w:t>
      </w:r>
    </w:p>
    <w:p w:rsidR="00C809B2" w:rsidRPr="00E42E4F" w:rsidRDefault="00C809B2" w:rsidP="0022249F">
      <w:pPr>
        <w:rPr>
          <w:lang w:val="en-US"/>
        </w:rPr>
      </w:pPr>
    </w:p>
    <w:p w:rsidR="0022249F" w:rsidRPr="00E42E4F" w:rsidRDefault="003132A6" w:rsidP="0022249F">
      <w:pPr>
        <w:rPr>
          <w:lang w:val="en-US"/>
        </w:rPr>
      </w:pPr>
      <w:r>
        <w:rPr>
          <w:lang w:val="en-US"/>
        </w:rPr>
        <w:t>14</w:t>
      </w:r>
      <w:r w:rsidR="008274E7">
        <w:rPr>
          <w:lang w:val="en-US"/>
        </w:rPr>
        <w:t>.</w:t>
      </w:r>
      <w:r w:rsidR="0022249F" w:rsidRPr="00E42E4F">
        <w:rPr>
          <w:lang w:val="en-US"/>
        </w:rPr>
        <w:t xml:space="preserve"> </w:t>
      </w:r>
      <w:r w:rsidR="008274E7">
        <w:rPr>
          <w:lang w:val="en-US"/>
        </w:rPr>
        <w:t xml:space="preserve">Period </w:t>
      </w:r>
      <w:r w:rsidR="0022249F" w:rsidRPr="00E42E4F">
        <w:rPr>
          <w:lang w:val="en-US"/>
        </w:rPr>
        <w:t>of collection</w:t>
      </w:r>
    </w:p>
    <w:p w:rsidR="003132A6" w:rsidRDefault="003132A6" w:rsidP="0022249F">
      <w:pPr>
        <w:rPr>
          <w:lang w:val="en-US"/>
        </w:rPr>
      </w:pPr>
      <w:r>
        <w:rPr>
          <w:lang w:val="en-US"/>
        </w:rPr>
        <w:tab/>
        <w:t xml:space="preserve">- </w:t>
      </w:r>
      <w:r w:rsidR="0018359E">
        <w:rPr>
          <w:lang w:val="en-US"/>
        </w:rPr>
        <w:t>October/201</w:t>
      </w:r>
      <w:r w:rsidR="00804DEB">
        <w:rPr>
          <w:lang w:val="en-US"/>
        </w:rPr>
        <w:t>0</w:t>
      </w:r>
      <w:r w:rsidR="0018359E">
        <w:rPr>
          <w:lang w:val="en-US"/>
        </w:rPr>
        <w:t xml:space="preserve"> and </w:t>
      </w:r>
      <w:r w:rsidR="00B924B1">
        <w:rPr>
          <w:lang w:val="en-US"/>
        </w:rPr>
        <w:t>February/2013</w:t>
      </w:r>
      <w:r>
        <w:rPr>
          <w:lang w:val="en-US"/>
        </w:rPr>
        <w:t>.</w:t>
      </w:r>
    </w:p>
    <w:p w:rsidR="0022249F" w:rsidRPr="00471780" w:rsidRDefault="003132A6" w:rsidP="0022249F">
      <w:r w:rsidRPr="00471780">
        <w:t>15</w:t>
      </w:r>
      <w:r w:rsidR="0022249F" w:rsidRPr="00471780">
        <w:t>. Data collectors</w:t>
      </w:r>
    </w:p>
    <w:p w:rsidR="003132A6" w:rsidRPr="00804DEB" w:rsidRDefault="003132A6" w:rsidP="0018359E">
      <w:r w:rsidRPr="00471780">
        <w:tab/>
      </w:r>
      <w:r w:rsidRPr="00804DEB">
        <w:t xml:space="preserve">- </w:t>
      </w:r>
      <w:r w:rsidR="00804DEB" w:rsidRPr="00804DEB">
        <w:t>Bas van Leeuwen and Jieli van Leeuwen-Li</w:t>
      </w:r>
      <w:r w:rsidRPr="00804DEB">
        <w:t>.</w:t>
      </w:r>
    </w:p>
    <w:p w:rsidR="0022249F" w:rsidRPr="00E42E4F" w:rsidRDefault="00BA2BA6" w:rsidP="003132A6">
      <w:pPr>
        <w:rPr>
          <w:lang w:val="en-US"/>
        </w:rPr>
      </w:pPr>
      <w:r w:rsidRPr="00E42E4F">
        <w:rPr>
          <w:lang w:val="en-US"/>
        </w:rPr>
        <w:t>1</w:t>
      </w:r>
      <w:r w:rsidR="003132A6">
        <w:rPr>
          <w:lang w:val="en-US"/>
        </w:rPr>
        <w:t>6</w:t>
      </w:r>
      <w:r w:rsidR="0022249F" w:rsidRPr="00E42E4F">
        <w:rPr>
          <w:lang w:val="en-US"/>
        </w:rPr>
        <w:t>. Sources</w:t>
      </w:r>
    </w:p>
    <w:p w:rsidR="00417558" w:rsidRDefault="00417558" w:rsidP="00B64C5E">
      <w:pPr>
        <w:ind w:left="709" w:hanging="709"/>
        <w:rPr>
          <w:lang w:val="en-US"/>
        </w:rPr>
      </w:pPr>
      <w:r>
        <w:rPr>
          <w:lang w:val="en-US"/>
        </w:rPr>
        <w:t>The main sources, with the exception of some country-specific studies,  are:</w:t>
      </w:r>
    </w:p>
    <w:p w:rsidR="00417558" w:rsidRDefault="00417558" w:rsidP="00417558">
      <w:pPr>
        <w:pStyle w:val="ListParagraph"/>
        <w:numPr>
          <w:ilvl w:val="0"/>
          <w:numId w:val="1"/>
        </w:numPr>
        <w:rPr>
          <w:lang w:val="en-US"/>
        </w:rPr>
      </w:pPr>
      <w:r>
        <w:rPr>
          <w:lang w:val="en-US"/>
        </w:rPr>
        <w:t xml:space="preserve">Mitchell, B.R. (2007), </w:t>
      </w:r>
      <w:r>
        <w:rPr>
          <w:i/>
          <w:lang w:val="en-US"/>
        </w:rPr>
        <w:t xml:space="preserve">International Historical Statistics: Africa, Asia &amp; Oceania, </w:t>
      </w:r>
      <w:r w:rsidR="005A2035">
        <w:rPr>
          <w:i/>
          <w:lang w:val="en-US"/>
        </w:rPr>
        <w:t xml:space="preserve">1750-2005, </w:t>
      </w:r>
      <w:r w:rsidR="005A2035">
        <w:rPr>
          <w:lang w:val="en-US"/>
        </w:rPr>
        <w:t>Basingstroke [etc.]: Palgrave Macmillan (5</w:t>
      </w:r>
      <w:r w:rsidR="005A2035" w:rsidRPr="005A2035">
        <w:rPr>
          <w:vertAlign w:val="superscript"/>
          <w:lang w:val="en-US"/>
        </w:rPr>
        <w:t>th</w:t>
      </w:r>
      <w:r w:rsidR="005A2035">
        <w:rPr>
          <w:lang w:val="en-US"/>
        </w:rPr>
        <w:t xml:space="preserve"> edition). </w:t>
      </w:r>
    </w:p>
    <w:p w:rsidR="0092787E" w:rsidRDefault="00417558" w:rsidP="0092787E">
      <w:pPr>
        <w:pStyle w:val="ListParagraph"/>
        <w:numPr>
          <w:ilvl w:val="0"/>
          <w:numId w:val="1"/>
        </w:numPr>
        <w:rPr>
          <w:lang w:val="en-US"/>
        </w:rPr>
      </w:pPr>
      <w:r>
        <w:rPr>
          <w:lang w:val="en-US"/>
        </w:rPr>
        <w:t>Mitchell</w:t>
      </w:r>
      <w:r w:rsidR="0092787E">
        <w:rPr>
          <w:lang w:val="en-US"/>
        </w:rPr>
        <w:t xml:space="preserve">, B.R. (2007), </w:t>
      </w:r>
      <w:r w:rsidR="0092787E">
        <w:rPr>
          <w:i/>
          <w:lang w:val="en-US"/>
        </w:rPr>
        <w:t xml:space="preserve">International Historical Statistics: The Americas, 1750-2005, </w:t>
      </w:r>
      <w:r w:rsidR="0092787E">
        <w:rPr>
          <w:lang w:val="en-US"/>
        </w:rPr>
        <w:t>Basingstroke [etc.]: Palgrave Macmillan (5</w:t>
      </w:r>
      <w:r w:rsidR="0092787E" w:rsidRPr="005A2035">
        <w:rPr>
          <w:vertAlign w:val="superscript"/>
          <w:lang w:val="en-US"/>
        </w:rPr>
        <w:t>th</w:t>
      </w:r>
      <w:r w:rsidR="0092787E">
        <w:rPr>
          <w:lang w:val="en-US"/>
        </w:rPr>
        <w:t xml:space="preserve"> edition). </w:t>
      </w:r>
    </w:p>
    <w:p w:rsidR="0092787E" w:rsidRDefault="0092787E" w:rsidP="0092787E">
      <w:pPr>
        <w:pStyle w:val="ListParagraph"/>
        <w:numPr>
          <w:ilvl w:val="0"/>
          <w:numId w:val="1"/>
        </w:numPr>
        <w:rPr>
          <w:lang w:val="en-US"/>
        </w:rPr>
      </w:pPr>
      <w:r>
        <w:rPr>
          <w:lang w:val="en-US"/>
        </w:rPr>
        <w:t xml:space="preserve">Mitchell, B.R. (2007), </w:t>
      </w:r>
      <w:r>
        <w:rPr>
          <w:i/>
          <w:lang w:val="en-US"/>
        </w:rPr>
        <w:t xml:space="preserve">International Historical Statistics: Europe, 1750-2005, </w:t>
      </w:r>
      <w:r>
        <w:rPr>
          <w:lang w:val="en-US"/>
        </w:rPr>
        <w:t>Basingstroke [etc.]: Palgrave Macmillan (5</w:t>
      </w:r>
      <w:r w:rsidRPr="005A2035">
        <w:rPr>
          <w:vertAlign w:val="superscript"/>
          <w:lang w:val="en-US"/>
        </w:rPr>
        <w:t>th</w:t>
      </w:r>
      <w:r>
        <w:rPr>
          <w:lang w:val="en-US"/>
        </w:rPr>
        <w:t xml:space="preserve"> edition). </w:t>
      </w:r>
    </w:p>
    <w:p w:rsidR="0092787E" w:rsidRDefault="0092787E" w:rsidP="00417558">
      <w:pPr>
        <w:pStyle w:val="ListParagraph"/>
        <w:numPr>
          <w:ilvl w:val="0"/>
          <w:numId w:val="1"/>
        </w:numPr>
        <w:rPr>
          <w:lang w:val="en-US"/>
        </w:rPr>
      </w:pPr>
      <w:r>
        <w:rPr>
          <w:lang w:val="en-US"/>
        </w:rPr>
        <w:t xml:space="preserve">US Department of Commerce, US Census Bureau, </w:t>
      </w:r>
      <w:r w:rsidRPr="0092787E">
        <w:rPr>
          <w:i/>
          <w:lang w:val="en-US"/>
        </w:rPr>
        <w:t>International database</w:t>
      </w:r>
      <w:r>
        <w:rPr>
          <w:lang w:val="en-US"/>
        </w:rPr>
        <w:t xml:space="preserve">, downloaded from: </w:t>
      </w:r>
      <w:hyperlink r:id="rId7" w:history="1">
        <w:r w:rsidRPr="00DB01F0">
          <w:rPr>
            <w:rStyle w:val="Hyperlink"/>
            <w:lang w:val="en-US"/>
          </w:rPr>
          <w:t>http://www.census.gov/population/international/data/idb/informationGateway.php</w:t>
        </w:r>
      </w:hyperlink>
    </w:p>
    <w:p w:rsidR="0092787E" w:rsidRDefault="0092787E" w:rsidP="00417558">
      <w:pPr>
        <w:pStyle w:val="ListParagraph"/>
        <w:numPr>
          <w:ilvl w:val="0"/>
          <w:numId w:val="1"/>
        </w:numPr>
        <w:rPr>
          <w:lang w:val="en-US"/>
        </w:rPr>
      </w:pPr>
      <w:r w:rsidRPr="0092787E">
        <w:rPr>
          <w:lang w:val="en-US"/>
        </w:rPr>
        <w:lastRenderedPageBreak/>
        <w:t>Unesco, Statistical yearbook, Paris: Unesco, 1964-1999, 1963-1999</w:t>
      </w:r>
    </w:p>
    <w:p w:rsidR="0092787E" w:rsidRDefault="0092787E" w:rsidP="00417558">
      <w:pPr>
        <w:pStyle w:val="ListParagraph"/>
        <w:numPr>
          <w:ilvl w:val="0"/>
          <w:numId w:val="1"/>
        </w:numPr>
        <w:rPr>
          <w:lang w:val="en-US"/>
        </w:rPr>
      </w:pPr>
      <w:r>
        <w:rPr>
          <w:lang w:val="en-US"/>
        </w:rPr>
        <w:t>Blue books of the British colonies (various issues)</w:t>
      </w:r>
    </w:p>
    <w:p w:rsidR="00417558" w:rsidRDefault="0092787E" w:rsidP="00B64C5E">
      <w:pPr>
        <w:ind w:left="709" w:hanging="709"/>
        <w:rPr>
          <w:lang w:val="en-US"/>
        </w:rPr>
      </w:pPr>
      <w:r>
        <w:rPr>
          <w:lang w:val="en-US"/>
        </w:rPr>
        <w:t>Some of the data are also taken from papers:</w:t>
      </w:r>
    </w:p>
    <w:p w:rsidR="00804DEB" w:rsidRPr="0092787E" w:rsidRDefault="00804DEB" w:rsidP="0092787E">
      <w:pPr>
        <w:pStyle w:val="ListParagraph"/>
        <w:numPr>
          <w:ilvl w:val="0"/>
          <w:numId w:val="1"/>
        </w:numPr>
        <w:rPr>
          <w:lang w:val="en-US"/>
        </w:rPr>
      </w:pPr>
      <w:r w:rsidRPr="0092787E">
        <w:rPr>
          <w:lang w:val="en-US"/>
        </w:rPr>
        <w:t>Péter Földvári and Bas van Leeuwen, 'Educational inequality in Europe, 1870-2000 ,' 20 August 2010.</w:t>
      </w:r>
    </w:p>
    <w:p w:rsidR="00804DEB" w:rsidRDefault="0092787E" w:rsidP="0092787E">
      <w:pPr>
        <w:pStyle w:val="ListParagraph"/>
        <w:numPr>
          <w:ilvl w:val="0"/>
          <w:numId w:val="1"/>
        </w:numPr>
        <w:rPr>
          <w:lang w:val="en-US"/>
        </w:rPr>
      </w:pPr>
      <w:r>
        <w:rPr>
          <w:lang w:val="en-US"/>
        </w:rPr>
        <w:t xml:space="preserve"> </w:t>
      </w:r>
      <w:r w:rsidR="00804DEB" w:rsidRPr="0092787E">
        <w:rPr>
          <w:lang w:val="en-US"/>
        </w:rPr>
        <w:t xml:space="preserve">Leeuwen, </w:t>
      </w:r>
      <w:r>
        <w:rPr>
          <w:lang w:val="en-US"/>
        </w:rPr>
        <w:t xml:space="preserve">Bas van, </w:t>
      </w:r>
      <w:r w:rsidR="00804DEB" w:rsidRPr="0092787E">
        <w:rPr>
          <w:lang w:val="en-US"/>
        </w:rPr>
        <w:t>Jieli van Leeuwen-Li, and Péter Földvári, 'Regional human capital in Republican and New China: Its spread, quality and effects on economic growth,' 26 July 2011.</w:t>
      </w:r>
    </w:p>
    <w:p w:rsidR="00804DEB" w:rsidRPr="0092787E" w:rsidRDefault="00804DEB" w:rsidP="0092787E">
      <w:pPr>
        <w:pStyle w:val="ListParagraph"/>
        <w:numPr>
          <w:ilvl w:val="0"/>
          <w:numId w:val="1"/>
        </w:numPr>
        <w:rPr>
          <w:lang w:val="en-US"/>
        </w:rPr>
      </w:pPr>
      <w:r w:rsidRPr="0092787E">
        <w:rPr>
          <w:lang w:val="en-US"/>
        </w:rPr>
        <w:t xml:space="preserve"> Leeuwen, </w:t>
      </w:r>
      <w:r w:rsidR="0092787E">
        <w:rPr>
          <w:lang w:val="en-US"/>
        </w:rPr>
        <w:t xml:space="preserve">Bas van, </w:t>
      </w:r>
      <w:r w:rsidRPr="0092787E">
        <w:rPr>
          <w:lang w:val="en-US"/>
        </w:rPr>
        <w:t>Jieli van Leeuwen-Li, and Péter Földvári, 'Was education a driver of economic development in Africa? Inequality and income in the twentieth century,' 23 April 2012.</w:t>
      </w:r>
    </w:p>
    <w:p w:rsidR="00804DEB" w:rsidRPr="0092787E" w:rsidRDefault="00804DEB" w:rsidP="0092787E">
      <w:pPr>
        <w:pStyle w:val="ListParagraph"/>
        <w:numPr>
          <w:ilvl w:val="0"/>
          <w:numId w:val="1"/>
        </w:numPr>
        <w:rPr>
          <w:rFonts w:eastAsia="Times New Roman" w:cs="Times New Roman"/>
          <w:lang w:val="en-US" w:eastAsia="zh-CN"/>
        </w:rPr>
      </w:pPr>
      <w:r w:rsidRPr="0092787E">
        <w:rPr>
          <w:lang w:val="en-US"/>
        </w:rPr>
        <w:t xml:space="preserve">Didenko, </w:t>
      </w:r>
      <w:r w:rsidR="0092787E" w:rsidRPr="0092787E">
        <w:rPr>
          <w:lang w:val="en-US"/>
        </w:rPr>
        <w:t xml:space="preserve">Dmitry, </w:t>
      </w:r>
      <w:r w:rsidRPr="0092787E">
        <w:rPr>
          <w:lang w:val="en-US"/>
        </w:rPr>
        <w:t>Peter Foldvari, and Bas van Leeuwen, ‘</w:t>
      </w:r>
      <w:r w:rsidRPr="0092787E">
        <w:rPr>
          <w:rFonts w:eastAsia="Times New Roman" w:cs="Times New Roman"/>
          <w:lang w:val="en-US" w:eastAsia="zh-CN"/>
        </w:rPr>
        <w:t>A dataset on human capital in the former Soviet Union area: Sources, methods, and first results,’ CGEH Working Paper No. 35, Aug. 2012.</w:t>
      </w:r>
    </w:p>
    <w:p w:rsidR="00804DEB" w:rsidRPr="00804DEB" w:rsidRDefault="00804DEB" w:rsidP="00B64C5E">
      <w:pPr>
        <w:ind w:left="709" w:hanging="709"/>
        <w:rPr>
          <w:i/>
          <w:lang w:val="en-US"/>
        </w:rPr>
      </w:pPr>
    </w:p>
    <w:p w:rsidR="00804DEB" w:rsidRPr="00804DEB" w:rsidRDefault="00804DEB" w:rsidP="00B64C5E">
      <w:pPr>
        <w:ind w:left="709" w:hanging="709"/>
        <w:rPr>
          <w:i/>
          <w:lang w:val="en-US"/>
        </w:rPr>
      </w:pPr>
    </w:p>
    <w:p w:rsidR="008274E7" w:rsidRDefault="008274E7" w:rsidP="008274E7">
      <w:pPr>
        <w:rPr>
          <w:lang w:val="en-US"/>
        </w:rPr>
      </w:pPr>
      <w:r>
        <w:rPr>
          <w:lang w:val="en-US"/>
        </w:rPr>
        <w:t>17. Text</w:t>
      </w:r>
    </w:p>
    <w:p w:rsidR="00B924B1" w:rsidRDefault="00B924B1" w:rsidP="003132A6">
      <w:pPr>
        <w:rPr>
          <w:lang w:val="en-US"/>
        </w:rPr>
      </w:pPr>
      <w:r>
        <w:rPr>
          <w:lang w:val="en-US"/>
        </w:rPr>
        <w:t>Obviously, educational inequality is related to education and the same data are used there. For the method of calculating years of education, the reader is thus referred to the file on “average years of education”.  Here we will only give a brief description on how the educational Gini is calculated.</w:t>
      </w:r>
    </w:p>
    <w:p w:rsidR="004B615D" w:rsidRPr="004B615D" w:rsidRDefault="004B615D" w:rsidP="004B615D">
      <w:pPr>
        <w:ind w:firstLine="708"/>
        <w:jc w:val="both"/>
        <w:rPr>
          <w:lang w:val="en-US"/>
        </w:rPr>
      </w:pPr>
      <w:r>
        <w:rPr>
          <w:lang w:val="en-US"/>
        </w:rPr>
        <w:t>We use the</w:t>
      </w:r>
      <w:r w:rsidRPr="004B615D">
        <w:rPr>
          <w:lang w:val="en-US"/>
        </w:rPr>
        <w:t xml:space="preserve"> method as suggested by Thomas, Wang, and Fan (2000), Checchi (2004) and Castelló and Doménech (2000, 4). In order to convert the educational information in educational Ginis they start with </w:t>
      </w:r>
    </w:p>
    <w:p w:rsidR="004B615D" w:rsidRPr="004B615D" w:rsidRDefault="004B615D" w:rsidP="004B615D">
      <w:pPr>
        <w:jc w:val="center"/>
      </w:pPr>
      <w:r w:rsidRPr="004B615D">
        <w:rPr>
          <w:position w:val="-30"/>
        </w:rPr>
        <w:object w:dxaOrig="276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pt;height:35.25pt" o:ole="">
            <v:imagedata r:id="rId8" o:title=""/>
          </v:shape>
          <o:OLEObject Type="Embed" ProgID="Equation.3" ShapeID="_x0000_i1025" DrawAspect="Content" ObjectID="_1462871520" r:id="rId9"/>
        </w:object>
      </w:r>
    </w:p>
    <w:p w:rsidR="004B615D" w:rsidRPr="004B615D" w:rsidRDefault="004B615D" w:rsidP="004B615D">
      <w:pPr>
        <w:jc w:val="both"/>
        <w:rPr>
          <w:lang w:val="en-US"/>
        </w:rPr>
      </w:pPr>
      <w:r w:rsidRPr="004B615D">
        <w:rPr>
          <w:lang w:val="en-US"/>
        </w:rPr>
        <w:t xml:space="preserve">Where </w:t>
      </w:r>
      <w:r w:rsidRPr="004B615D">
        <w:rPr>
          <w:position w:val="-4"/>
        </w:rPr>
        <w:object w:dxaOrig="300" w:dyaOrig="300">
          <v:shape id="_x0000_i1026" type="#_x0000_t75" style="width:15pt;height:15pt" o:ole="">
            <v:imagedata r:id="rId10" o:title=""/>
          </v:shape>
          <o:OLEObject Type="Embed" ProgID="Equation.3" ShapeID="_x0000_i1026" DrawAspect="Content" ObjectID="_1462871521" r:id="rId11"/>
        </w:object>
      </w:r>
      <w:r w:rsidRPr="004B615D">
        <w:rPr>
          <w:lang w:val="en-US"/>
        </w:rPr>
        <w:t xml:space="preserve">is </w:t>
      </w:r>
      <w:bookmarkStart w:id="1" w:name="OLE_LINK1"/>
      <w:bookmarkStart w:id="2" w:name="OLE_LINK2"/>
      <w:r w:rsidRPr="004B615D">
        <w:rPr>
          <w:lang w:val="en-US"/>
        </w:rPr>
        <w:t>average years of schooling in the population aged 15 years and over</w:t>
      </w:r>
      <w:bookmarkEnd w:id="1"/>
      <w:bookmarkEnd w:id="2"/>
      <w:r w:rsidRPr="004B615D">
        <w:rPr>
          <w:lang w:val="en-US"/>
        </w:rPr>
        <w:t xml:space="preserve">, </w:t>
      </w:r>
      <w:r w:rsidRPr="004B615D">
        <w:rPr>
          <w:i/>
          <w:lang w:val="en-US"/>
        </w:rPr>
        <w:t>i</w:t>
      </w:r>
      <w:r w:rsidRPr="004B615D">
        <w:rPr>
          <w:lang w:val="en-US"/>
        </w:rPr>
        <w:t xml:space="preserve"> and </w:t>
      </w:r>
      <w:r w:rsidRPr="004B615D">
        <w:rPr>
          <w:i/>
          <w:lang w:val="en-US"/>
        </w:rPr>
        <w:t>j</w:t>
      </w:r>
      <w:r w:rsidRPr="004B615D">
        <w:rPr>
          <w:lang w:val="en-US"/>
        </w:rPr>
        <w:t xml:space="preserve"> are different levels of education, </w:t>
      </w:r>
      <w:r w:rsidRPr="004B615D">
        <w:rPr>
          <w:position w:val="-12"/>
        </w:rPr>
        <w:object w:dxaOrig="240" w:dyaOrig="360">
          <v:shape id="_x0000_i1027" type="#_x0000_t75" style="width:12.75pt;height:18pt" o:ole="">
            <v:imagedata r:id="rId12" o:title=""/>
          </v:shape>
          <o:OLEObject Type="Embed" ProgID="Equation.3" ShapeID="_x0000_i1027" DrawAspect="Content" ObjectID="_1462871522" r:id="rId13"/>
        </w:object>
      </w:r>
      <w:r w:rsidRPr="004B615D">
        <w:rPr>
          <w:lang w:val="en-US"/>
        </w:rPr>
        <w:t xml:space="preserve"> and </w:t>
      </w:r>
      <w:r w:rsidRPr="004B615D">
        <w:rPr>
          <w:position w:val="-14"/>
        </w:rPr>
        <w:object w:dxaOrig="279" w:dyaOrig="380">
          <v:shape id="_x0000_i1028" type="#_x0000_t75" style="width:14.25pt;height:18.75pt" o:ole="">
            <v:imagedata r:id="rId14" o:title=""/>
          </v:shape>
          <o:OLEObject Type="Embed" ProgID="Equation.3" ShapeID="_x0000_i1028" DrawAspect="Content" ObjectID="_1462871523" r:id="rId15"/>
        </w:object>
      </w:r>
      <w:r w:rsidRPr="004B615D">
        <w:rPr>
          <w:lang w:val="en-US"/>
        </w:rPr>
        <w:t xml:space="preserve"> are the attainment per level of education, and </w:t>
      </w:r>
      <w:r w:rsidRPr="004B615D">
        <w:rPr>
          <w:position w:val="-12"/>
        </w:rPr>
        <w:object w:dxaOrig="240" w:dyaOrig="360">
          <v:shape id="_x0000_i1029" type="#_x0000_t75" style="width:12.75pt;height:18pt" o:ole="">
            <v:imagedata r:id="rId16" o:title=""/>
          </v:shape>
          <o:OLEObject Type="Embed" ProgID="Equation.3" ShapeID="_x0000_i1029" DrawAspect="Content" ObjectID="_1462871524" r:id="rId17"/>
        </w:object>
      </w:r>
      <w:r w:rsidRPr="004B615D">
        <w:rPr>
          <w:lang w:val="en-US"/>
        </w:rPr>
        <w:t xml:space="preserve"> and </w:t>
      </w:r>
      <w:r w:rsidRPr="004B615D">
        <w:rPr>
          <w:position w:val="-14"/>
        </w:rPr>
        <w:object w:dxaOrig="279" w:dyaOrig="380">
          <v:shape id="_x0000_i1030" type="#_x0000_t75" style="width:14.25pt;height:18.75pt" o:ole="">
            <v:imagedata r:id="rId18" o:title=""/>
          </v:shape>
          <o:OLEObject Type="Embed" ProgID="Equation.3" ShapeID="_x0000_i1030" DrawAspect="Content" ObjectID="_1462871525" r:id="rId19"/>
        </w:object>
      </w:r>
      <w:r w:rsidRPr="004B615D">
        <w:rPr>
          <w:lang w:val="en-US"/>
        </w:rPr>
        <w:t xml:space="preserve"> are the cumulative average years of schooling at each educational level. This equation can be rewritten as follows:</w:t>
      </w:r>
    </w:p>
    <w:p w:rsidR="004B615D" w:rsidRPr="004B615D" w:rsidRDefault="004B615D" w:rsidP="004B615D">
      <w:pPr>
        <w:jc w:val="center"/>
        <w:rPr>
          <w:lang w:val="en-US"/>
        </w:rPr>
      </w:pPr>
      <w:r w:rsidRPr="004B615D">
        <w:rPr>
          <w:position w:val="-30"/>
        </w:rPr>
        <w:object w:dxaOrig="4300" w:dyaOrig="700">
          <v:shape id="_x0000_i1031" type="#_x0000_t75" style="width:215.25pt;height:35.25pt" o:ole="">
            <v:imagedata r:id="rId20" o:title=""/>
          </v:shape>
          <o:OLEObject Type="Embed" ProgID="Equation.3" ShapeID="_x0000_i1031" DrawAspect="Content" ObjectID="_1462871526" r:id="rId21"/>
        </w:object>
      </w:r>
      <w:r w:rsidRPr="004B615D">
        <w:rPr>
          <w:lang w:val="en-US"/>
        </w:rPr>
        <w:t xml:space="preserve"> </w:t>
      </w:r>
    </w:p>
    <w:p w:rsidR="004B615D" w:rsidRPr="004B615D" w:rsidRDefault="004B615D" w:rsidP="004B615D">
      <w:pPr>
        <w:jc w:val="both"/>
        <w:rPr>
          <w:lang w:val="en-US"/>
        </w:rPr>
      </w:pPr>
      <w:r w:rsidRPr="004B615D">
        <w:rPr>
          <w:lang w:val="en-US"/>
        </w:rPr>
        <w:t xml:space="preserve">Where </w:t>
      </w:r>
      <m:oMath>
        <m:r>
          <w:rPr>
            <w:rFonts w:ascii="Cambria Math" w:hAnsi="Cambria Math"/>
          </w:rPr>
          <m:t>x</m:t>
        </m:r>
      </m:oMath>
      <w:r w:rsidRPr="004B615D">
        <w:rPr>
          <w:lang w:val="en-US"/>
        </w:rPr>
        <w:t xml:space="preserve"> stands for the average years of schooling per level of education (0= no education, 1= primary education, 2 = secondary education, and 3 is higher education) divided by the percentage population with at least that level of education attained.  </w:t>
      </w:r>
      <w:r w:rsidRPr="004B615D">
        <w:rPr>
          <w:position w:val="-12"/>
        </w:rPr>
        <w:object w:dxaOrig="279" w:dyaOrig="360">
          <v:shape id="_x0000_i1032" type="#_x0000_t75" style="width:14.25pt;height:18pt" o:ole="">
            <v:imagedata r:id="rId22" o:title=""/>
          </v:shape>
          <o:OLEObject Type="Embed" ProgID="Equation.3" ShapeID="_x0000_i1032" DrawAspect="Content" ObjectID="_1462871527" r:id="rId23"/>
        </w:object>
      </w:r>
      <w:r w:rsidRPr="004B615D">
        <w:rPr>
          <w:lang w:val="en-US"/>
        </w:rPr>
        <w:t xml:space="preserve">, </w:t>
      </w:r>
      <w:r w:rsidRPr="004B615D">
        <w:rPr>
          <w:position w:val="-10"/>
        </w:rPr>
        <w:object w:dxaOrig="240" w:dyaOrig="340">
          <v:shape id="_x0000_i1033" type="#_x0000_t75" style="width:12.75pt;height:17.25pt" o:ole="">
            <v:imagedata r:id="rId24" o:title=""/>
          </v:shape>
          <o:OLEObject Type="Embed" ProgID="Equation.3" ShapeID="_x0000_i1033" DrawAspect="Content" ObjectID="_1462871528" r:id="rId25"/>
        </w:object>
      </w:r>
      <w:r w:rsidRPr="004B615D">
        <w:rPr>
          <w:lang w:val="en-US"/>
        </w:rPr>
        <w:t xml:space="preserve">, </w:t>
      </w:r>
      <w:r w:rsidRPr="004B615D">
        <w:rPr>
          <w:position w:val="-10"/>
        </w:rPr>
        <w:object w:dxaOrig="279" w:dyaOrig="340">
          <v:shape id="_x0000_i1034" type="#_x0000_t75" style="width:14.25pt;height:17.25pt" o:ole="">
            <v:imagedata r:id="rId26" o:title=""/>
          </v:shape>
          <o:OLEObject Type="Embed" ProgID="Equation.3" ShapeID="_x0000_i1034" DrawAspect="Content" ObjectID="_1462871529" r:id="rId27"/>
        </w:object>
      </w:r>
      <w:r w:rsidRPr="004B615D">
        <w:rPr>
          <w:lang w:val="en-US"/>
        </w:rPr>
        <w:t xml:space="preserve">, and </w:t>
      </w:r>
      <w:r w:rsidRPr="004B615D">
        <w:rPr>
          <w:position w:val="-12"/>
        </w:rPr>
        <w:object w:dxaOrig="260" w:dyaOrig="360">
          <v:shape id="_x0000_i1035" type="#_x0000_t75" style="width:13.5pt;height:18pt" o:ole="">
            <v:imagedata r:id="rId28" o:title=""/>
          </v:shape>
          <o:OLEObject Type="Embed" ProgID="Equation.3" ShapeID="_x0000_i1035" DrawAspect="Content" ObjectID="_1462871530" r:id="rId29"/>
        </w:object>
      </w:r>
      <w:r w:rsidRPr="004B615D">
        <w:rPr>
          <w:lang w:val="en-US"/>
        </w:rPr>
        <w:t xml:space="preserve"> are the percentages of the  population  with no-, primary-, secondary-, and higher education respectively. </w:t>
      </w:r>
    </w:p>
    <w:p w:rsidR="00B924B1" w:rsidRPr="004B615D" w:rsidRDefault="004B615D" w:rsidP="003132A6">
      <w:pPr>
        <w:rPr>
          <w:lang w:val="en-US"/>
        </w:rPr>
      </w:pPr>
      <w:r>
        <w:rPr>
          <w:lang w:val="en-US"/>
        </w:rPr>
        <w:tab/>
        <w:t>This equation gives the possibility to calculate the educational Gini for every year and country.</w:t>
      </w:r>
    </w:p>
    <w:p w:rsidR="00B924B1" w:rsidRPr="004B615D" w:rsidRDefault="00B924B1" w:rsidP="003132A6">
      <w:pPr>
        <w:rPr>
          <w:lang w:val="en-US"/>
        </w:rPr>
      </w:pPr>
    </w:p>
    <w:p w:rsidR="00417558" w:rsidRPr="004B615D" w:rsidRDefault="00417558" w:rsidP="003132A6">
      <w:pPr>
        <w:rPr>
          <w:lang w:val="en-US"/>
        </w:rPr>
      </w:pPr>
    </w:p>
    <w:p w:rsidR="00417558" w:rsidRPr="004B615D" w:rsidRDefault="00417558" w:rsidP="003132A6">
      <w:pPr>
        <w:rPr>
          <w:lang w:val="en-US"/>
        </w:rPr>
      </w:pPr>
    </w:p>
    <w:p w:rsidR="00331DB6" w:rsidRDefault="008274E7" w:rsidP="003132A6">
      <w:pPr>
        <w:rPr>
          <w:lang w:val="en-US"/>
        </w:rPr>
      </w:pPr>
      <w:r>
        <w:rPr>
          <w:lang w:val="en-US"/>
        </w:rPr>
        <w:t xml:space="preserve">This </w:t>
      </w:r>
      <w:r w:rsidR="00D90C18">
        <w:rPr>
          <w:lang w:val="en-US"/>
        </w:rPr>
        <w:t xml:space="preserve">data collection </w:t>
      </w:r>
      <w:r>
        <w:rPr>
          <w:lang w:val="en-US"/>
        </w:rPr>
        <w:t>was carried out within the framework of the CLI</w:t>
      </w:r>
      <w:r w:rsidR="00331DB6">
        <w:rPr>
          <w:lang w:val="en-US"/>
        </w:rPr>
        <w:t>O-INFRA project financed by the Netherlands Organisatio</w:t>
      </w:r>
      <w:r w:rsidR="00D90C18">
        <w:rPr>
          <w:lang w:val="en-US"/>
        </w:rPr>
        <w:t>n for Scientific Research (NWO).</w:t>
      </w:r>
    </w:p>
    <w:p w:rsidR="00471780" w:rsidRDefault="00471780" w:rsidP="003132A6">
      <w:pPr>
        <w:rPr>
          <w:lang w:val="en-US"/>
        </w:rPr>
      </w:pPr>
    </w:p>
    <w:p w:rsidR="00471780" w:rsidRDefault="00471780" w:rsidP="003132A6">
      <w:pPr>
        <w:rPr>
          <w:lang w:val="en-US"/>
        </w:rPr>
      </w:pPr>
      <w:r>
        <w:rPr>
          <w:lang w:val="en-US"/>
        </w:rPr>
        <w:t>References:</w:t>
      </w:r>
    </w:p>
    <w:p w:rsidR="004B615D" w:rsidRPr="004B615D" w:rsidRDefault="004B615D" w:rsidP="004B615D">
      <w:pPr>
        <w:shd w:val="clear" w:color="auto" w:fill="FFFFFF"/>
        <w:ind w:left="709" w:hanging="709"/>
        <w:jc w:val="both"/>
        <w:rPr>
          <w:lang w:val="en-GB"/>
        </w:rPr>
      </w:pPr>
      <w:r w:rsidRPr="004B615D">
        <w:rPr>
          <w:lang w:val="en-GB"/>
        </w:rPr>
        <w:t xml:space="preserve">Castello, A. and Doménech, R. (2002). Human capital inequality and economic growth: some new evidence. </w:t>
      </w:r>
      <w:r w:rsidRPr="004B615D">
        <w:rPr>
          <w:i/>
          <w:lang w:val="en-GB"/>
        </w:rPr>
        <w:t>The Economic Journal</w:t>
      </w:r>
      <w:r w:rsidRPr="004B615D">
        <w:rPr>
          <w:lang w:val="en-GB"/>
        </w:rPr>
        <w:t xml:space="preserve"> </w:t>
      </w:r>
      <w:r w:rsidRPr="004B615D">
        <w:rPr>
          <w:b/>
          <w:lang w:val="en-GB"/>
        </w:rPr>
        <w:t>112</w:t>
      </w:r>
      <w:r w:rsidRPr="004B615D">
        <w:rPr>
          <w:lang w:val="en-GB"/>
        </w:rPr>
        <w:t>, pp. 187-200.</w:t>
      </w:r>
    </w:p>
    <w:p w:rsidR="004B615D" w:rsidRPr="004B615D" w:rsidRDefault="004B615D" w:rsidP="004B615D">
      <w:pPr>
        <w:autoSpaceDE w:val="0"/>
        <w:autoSpaceDN w:val="0"/>
        <w:adjustRightInd w:val="0"/>
        <w:ind w:left="709" w:hanging="709"/>
        <w:rPr>
          <w:lang w:val="en-GB"/>
        </w:rPr>
      </w:pPr>
      <w:r w:rsidRPr="004B615D">
        <w:rPr>
          <w:lang w:val="en-GB"/>
        </w:rPr>
        <w:t xml:space="preserve">Checci, D. (2001). Education Inequality and Income Inequality. </w:t>
      </w:r>
      <w:r w:rsidRPr="004B615D">
        <w:rPr>
          <w:i/>
          <w:lang w:val="en-GB"/>
        </w:rPr>
        <w:t>STICERD Distributional Analysis Research Programme Discussion Paper</w:t>
      </w:r>
      <w:r w:rsidRPr="004B615D">
        <w:rPr>
          <w:lang w:val="en-GB"/>
        </w:rPr>
        <w:t xml:space="preserve"> No. 52</w:t>
      </w:r>
    </w:p>
    <w:p w:rsidR="004B615D" w:rsidRPr="004B615D" w:rsidRDefault="004B615D" w:rsidP="004B615D">
      <w:pPr>
        <w:autoSpaceDE w:val="0"/>
        <w:autoSpaceDN w:val="0"/>
        <w:adjustRightInd w:val="0"/>
        <w:ind w:left="709" w:hanging="709"/>
        <w:rPr>
          <w:lang w:val="en-GB"/>
        </w:rPr>
      </w:pPr>
      <w:r w:rsidRPr="004B615D">
        <w:rPr>
          <w:lang w:val="en-US" w:eastAsia="zh-TW"/>
        </w:rPr>
        <w:lastRenderedPageBreak/>
        <w:t xml:space="preserve">Thomas, V., Wang Y. and Fan X. (2000). Measuring Education Inequality: Gini Coefficients of Education. </w:t>
      </w:r>
      <w:r w:rsidRPr="004B615D">
        <w:rPr>
          <w:i/>
          <w:lang w:val="en-US" w:eastAsia="zh-TW"/>
        </w:rPr>
        <w:t>Mimeo</w:t>
      </w:r>
      <w:r w:rsidRPr="004B615D">
        <w:rPr>
          <w:lang w:val="en-US" w:eastAsia="zh-TW"/>
        </w:rPr>
        <w:t>. The World Bank, http://econ.worldbank.org/files/1341_wps2525.pdf.</w:t>
      </w:r>
    </w:p>
    <w:p w:rsidR="004B615D" w:rsidRPr="004B615D" w:rsidRDefault="004B615D" w:rsidP="004B615D">
      <w:pPr>
        <w:autoSpaceDE w:val="0"/>
        <w:autoSpaceDN w:val="0"/>
        <w:adjustRightInd w:val="0"/>
        <w:spacing w:line="360" w:lineRule="auto"/>
        <w:ind w:left="709" w:hanging="709"/>
        <w:rPr>
          <w:lang w:val="en-GB"/>
        </w:rPr>
      </w:pPr>
    </w:p>
    <w:p w:rsidR="004B615D" w:rsidRPr="004B615D" w:rsidRDefault="004B615D" w:rsidP="00417558">
      <w:pPr>
        <w:autoSpaceDE w:val="0"/>
        <w:autoSpaceDN w:val="0"/>
        <w:adjustRightInd w:val="0"/>
        <w:ind w:left="709" w:hanging="709"/>
        <w:jc w:val="both"/>
        <w:rPr>
          <w:rFonts w:eastAsia="TimesNewRoman"/>
          <w:lang w:val="en-GB"/>
        </w:rPr>
      </w:pPr>
    </w:p>
    <w:sectPr w:rsidR="004B615D" w:rsidRPr="004B615D" w:rsidSect="007A56C1">
      <w:foot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4EEB" w:rsidRDefault="00604EEB" w:rsidP="00417558">
      <w:r>
        <w:separator/>
      </w:r>
    </w:p>
  </w:endnote>
  <w:endnote w:type="continuationSeparator" w:id="0">
    <w:p w:rsidR="00604EEB" w:rsidRDefault="00604EEB" w:rsidP="00417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TimesNewRoman">
    <w:altName w:val="MS Mincho"/>
    <w:panose1 w:val="00000000000000000000"/>
    <w:charset w:val="80"/>
    <w:family w:val="auto"/>
    <w:notTrueType/>
    <w:pitch w:val="default"/>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676668"/>
      <w:docPartObj>
        <w:docPartGallery w:val="Page Numbers (Bottom of Page)"/>
        <w:docPartUnique/>
      </w:docPartObj>
    </w:sdtPr>
    <w:sdtEndPr/>
    <w:sdtContent>
      <w:p w:rsidR="00417558" w:rsidRDefault="00655E28">
        <w:pPr>
          <w:pStyle w:val="Footer"/>
          <w:jc w:val="center"/>
        </w:pPr>
        <w:r>
          <w:fldChar w:fldCharType="begin"/>
        </w:r>
        <w:r>
          <w:instrText xml:space="preserve"> PAGE   \* MERGEFORMAT </w:instrText>
        </w:r>
        <w:r>
          <w:fldChar w:fldCharType="separate"/>
        </w:r>
        <w:r w:rsidR="00866736">
          <w:rPr>
            <w:noProof/>
          </w:rPr>
          <w:t>1</w:t>
        </w:r>
        <w:r>
          <w:rPr>
            <w:noProof/>
          </w:rPr>
          <w:fldChar w:fldCharType="end"/>
        </w:r>
      </w:p>
    </w:sdtContent>
  </w:sdt>
  <w:p w:rsidR="00417558" w:rsidRDefault="004175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4EEB" w:rsidRDefault="00604EEB" w:rsidP="00417558">
      <w:r>
        <w:separator/>
      </w:r>
    </w:p>
  </w:footnote>
  <w:footnote w:type="continuationSeparator" w:id="0">
    <w:p w:rsidR="00604EEB" w:rsidRDefault="00604EEB" w:rsidP="004175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C1374"/>
    <w:multiLevelType w:val="hybridMultilevel"/>
    <w:tmpl w:val="61B612B4"/>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73BA9"/>
    <w:rsid w:val="0001485D"/>
    <w:rsid w:val="00073BA9"/>
    <w:rsid w:val="000A5D8F"/>
    <w:rsid w:val="000C23CC"/>
    <w:rsid w:val="0018359E"/>
    <w:rsid w:val="001D03B2"/>
    <w:rsid w:val="002004D8"/>
    <w:rsid w:val="0022249F"/>
    <w:rsid w:val="00253070"/>
    <w:rsid w:val="002C765E"/>
    <w:rsid w:val="00301C0D"/>
    <w:rsid w:val="003132A6"/>
    <w:rsid w:val="00331DB6"/>
    <w:rsid w:val="00417558"/>
    <w:rsid w:val="00471780"/>
    <w:rsid w:val="0049543E"/>
    <w:rsid w:val="004B615D"/>
    <w:rsid w:val="004C280F"/>
    <w:rsid w:val="004E371B"/>
    <w:rsid w:val="005A2035"/>
    <w:rsid w:val="005D7DE0"/>
    <w:rsid w:val="00604EEB"/>
    <w:rsid w:val="00655E28"/>
    <w:rsid w:val="00752376"/>
    <w:rsid w:val="00780B6A"/>
    <w:rsid w:val="007A56C1"/>
    <w:rsid w:val="007B3DF1"/>
    <w:rsid w:val="00804DEB"/>
    <w:rsid w:val="008274E7"/>
    <w:rsid w:val="00866736"/>
    <w:rsid w:val="008A4DC9"/>
    <w:rsid w:val="008C2A88"/>
    <w:rsid w:val="008D7E0B"/>
    <w:rsid w:val="0092787E"/>
    <w:rsid w:val="00953388"/>
    <w:rsid w:val="00AA754B"/>
    <w:rsid w:val="00AE4E50"/>
    <w:rsid w:val="00B04827"/>
    <w:rsid w:val="00B17D7A"/>
    <w:rsid w:val="00B53929"/>
    <w:rsid w:val="00B64C5E"/>
    <w:rsid w:val="00B65D0C"/>
    <w:rsid w:val="00B924B1"/>
    <w:rsid w:val="00BA2BA6"/>
    <w:rsid w:val="00BA77C4"/>
    <w:rsid w:val="00BB4FAB"/>
    <w:rsid w:val="00BC311F"/>
    <w:rsid w:val="00BD11A5"/>
    <w:rsid w:val="00C04629"/>
    <w:rsid w:val="00C16C16"/>
    <w:rsid w:val="00C35B1A"/>
    <w:rsid w:val="00C566C7"/>
    <w:rsid w:val="00C6014A"/>
    <w:rsid w:val="00C66743"/>
    <w:rsid w:val="00C809B2"/>
    <w:rsid w:val="00C96AD9"/>
    <w:rsid w:val="00CB59EE"/>
    <w:rsid w:val="00D0328F"/>
    <w:rsid w:val="00D90C18"/>
    <w:rsid w:val="00D943F7"/>
    <w:rsid w:val="00DF2464"/>
    <w:rsid w:val="00E3589C"/>
    <w:rsid w:val="00E42E4F"/>
    <w:rsid w:val="00E6551D"/>
    <w:rsid w:val="00F42E54"/>
    <w:rsid w:val="00F445ED"/>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870E4C-E62E-4018-A8F5-6CE319642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56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3BA9"/>
    <w:rPr>
      <w:color w:val="0000FF" w:themeColor="hyperlink"/>
      <w:u w:val="single"/>
    </w:rPr>
  </w:style>
  <w:style w:type="paragraph" w:customStyle="1" w:styleId="Default">
    <w:name w:val="Default"/>
    <w:rsid w:val="00E42E4F"/>
    <w:pPr>
      <w:autoSpaceDE w:val="0"/>
      <w:autoSpaceDN w:val="0"/>
      <w:adjustRightInd w:val="0"/>
    </w:pPr>
    <w:rPr>
      <w:rFonts w:ascii="Verdana" w:hAnsi="Verdana" w:cs="Verdana"/>
      <w:color w:val="000000"/>
      <w:sz w:val="24"/>
      <w:szCs w:val="24"/>
      <w:lang w:val="en-US"/>
    </w:rPr>
  </w:style>
  <w:style w:type="character" w:styleId="CommentReference">
    <w:name w:val="annotation reference"/>
    <w:basedOn w:val="DefaultParagraphFont"/>
    <w:uiPriority w:val="99"/>
    <w:semiHidden/>
    <w:unhideWhenUsed/>
    <w:rsid w:val="00C04629"/>
    <w:rPr>
      <w:sz w:val="16"/>
      <w:szCs w:val="16"/>
    </w:rPr>
  </w:style>
  <w:style w:type="paragraph" w:styleId="CommentText">
    <w:name w:val="annotation text"/>
    <w:basedOn w:val="Normal"/>
    <w:link w:val="CommentTextChar"/>
    <w:uiPriority w:val="99"/>
    <w:semiHidden/>
    <w:unhideWhenUsed/>
    <w:rsid w:val="00C04629"/>
    <w:rPr>
      <w:sz w:val="20"/>
      <w:szCs w:val="20"/>
    </w:rPr>
  </w:style>
  <w:style w:type="character" w:customStyle="1" w:styleId="CommentTextChar">
    <w:name w:val="Comment Text Char"/>
    <w:basedOn w:val="DefaultParagraphFont"/>
    <w:link w:val="CommentText"/>
    <w:uiPriority w:val="99"/>
    <w:semiHidden/>
    <w:rsid w:val="00C04629"/>
    <w:rPr>
      <w:sz w:val="20"/>
      <w:szCs w:val="20"/>
    </w:rPr>
  </w:style>
  <w:style w:type="paragraph" w:styleId="CommentSubject">
    <w:name w:val="annotation subject"/>
    <w:basedOn w:val="CommentText"/>
    <w:next w:val="CommentText"/>
    <w:link w:val="CommentSubjectChar"/>
    <w:uiPriority w:val="99"/>
    <w:semiHidden/>
    <w:unhideWhenUsed/>
    <w:rsid w:val="00C04629"/>
    <w:rPr>
      <w:b/>
      <w:bCs/>
    </w:rPr>
  </w:style>
  <w:style w:type="character" w:customStyle="1" w:styleId="CommentSubjectChar">
    <w:name w:val="Comment Subject Char"/>
    <w:basedOn w:val="CommentTextChar"/>
    <w:link w:val="CommentSubject"/>
    <w:uiPriority w:val="99"/>
    <w:semiHidden/>
    <w:rsid w:val="00C04629"/>
    <w:rPr>
      <w:b/>
      <w:bCs/>
      <w:sz w:val="20"/>
      <w:szCs w:val="20"/>
    </w:rPr>
  </w:style>
  <w:style w:type="paragraph" w:styleId="BalloonText">
    <w:name w:val="Balloon Text"/>
    <w:basedOn w:val="Normal"/>
    <w:link w:val="BalloonTextChar"/>
    <w:uiPriority w:val="99"/>
    <w:semiHidden/>
    <w:unhideWhenUsed/>
    <w:rsid w:val="00C04629"/>
    <w:rPr>
      <w:rFonts w:ascii="Tahoma" w:hAnsi="Tahoma" w:cs="Tahoma"/>
      <w:sz w:val="16"/>
      <w:szCs w:val="16"/>
    </w:rPr>
  </w:style>
  <w:style w:type="character" w:customStyle="1" w:styleId="BalloonTextChar">
    <w:name w:val="Balloon Text Char"/>
    <w:basedOn w:val="DefaultParagraphFont"/>
    <w:link w:val="BalloonText"/>
    <w:uiPriority w:val="99"/>
    <w:semiHidden/>
    <w:rsid w:val="00C04629"/>
    <w:rPr>
      <w:rFonts w:ascii="Tahoma" w:hAnsi="Tahoma" w:cs="Tahoma"/>
      <w:sz w:val="16"/>
      <w:szCs w:val="16"/>
    </w:rPr>
  </w:style>
  <w:style w:type="character" w:styleId="FollowedHyperlink">
    <w:name w:val="FollowedHyperlink"/>
    <w:basedOn w:val="DefaultParagraphFont"/>
    <w:uiPriority w:val="99"/>
    <w:semiHidden/>
    <w:unhideWhenUsed/>
    <w:rsid w:val="008274E7"/>
    <w:rPr>
      <w:color w:val="800080" w:themeColor="followedHyperlink"/>
      <w:u w:val="single"/>
    </w:rPr>
  </w:style>
  <w:style w:type="character" w:customStyle="1" w:styleId="field-content">
    <w:name w:val="field-content"/>
    <w:basedOn w:val="DefaultParagraphFont"/>
    <w:rsid w:val="00804DEB"/>
  </w:style>
  <w:style w:type="character" w:styleId="Strong">
    <w:name w:val="Strong"/>
    <w:basedOn w:val="DefaultParagraphFont"/>
    <w:uiPriority w:val="22"/>
    <w:qFormat/>
    <w:rsid w:val="00417558"/>
    <w:rPr>
      <w:b/>
      <w:bCs/>
    </w:rPr>
  </w:style>
  <w:style w:type="paragraph" w:styleId="ListParagraph">
    <w:name w:val="List Paragraph"/>
    <w:basedOn w:val="Normal"/>
    <w:uiPriority w:val="34"/>
    <w:qFormat/>
    <w:rsid w:val="00417558"/>
    <w:pPr>
      <w:ind w:left="720"/>
      <w:contextualSpacing/>
    </w:pPr>
  </w:style>
  <w:style w:type="paragraph" w:styleId="Header">
    <w:name w:val="header"/>
    <w:basedOn w:val="Normal"/>
    <w:link w:val="HeaderChar"/>
    <w:uiPriority w:val="99"/>
    <w:semiHidden/>
    <w:unhideWhenUsed/>
    <w:rsid w:val="00417558"/>
    <w:pPr>
      <w:tabs>
        <w:tab w:val="center" w:pos="4536"/>
        <w:tab w:val="right" w:pos="9072"/>
      </w:tabs>
    </w:pPr>
  </w:style>
  <w:style w:type="character" w:customStyle="1" w:styleId="HeaderChar">
    <w:name w:val="Header Char"/>
    <w:basedOn w:val="DefaultParagraphFont"/>
    <w:link w:val="Header"/>
    <w:uiPriority w:val="99"/>
    <w:semiHidden/>
    <w:rsid w:val="00417558"/>
  </w:style>
  <w:style w:type="paragraph" w:styleId="Footer">
    <w:name w:val="footer"/>
    <w:basedOn w:val="Normal"/>
    <w:link w:val="FooterChar"/>
    <w:uiPriority w:val="99"/>
    <w:unhideWhenUsed/>
    <w:rsid w:val="00417558"/>
    <w:pPr>
      <w:tabs>
        <w:tab w:val="center" w:pos="4536"/>
        <w:tab w:val="right" w:pos="9072"/>
      </w:tabs>
    </w:pPr>
  </w:style>
  <w:style w:type="character" w:customStyle="1" w:styleId="FooterChar">
    <w:name w:val="Footer Char"/>
    <w:basedOn w:val="DefaultParagraphFont"/>
    <w:link w:val="Footer"/>
    <w:uiPriority w:val="99"/>
    <w:rsid w:val="004175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6377735">
      <w:bodyDiv w:val="1"/>
      <w:marLeft w:val="0"/>
      <w:marRight w:val="0"/>
      <w:marTop w:val="0"/>
      <w:marBottom w:val="0"/>
      <w:divBdr>
        <w:top w:val="none" w:sz="0" w:space="0" w:color="auto"/>
        <w:left w:val="none" w:sz="0" w:space="0" w:color="auto"/>
        <w:bottom w:val="none" w:sz="0" w:space="0" w:color="auto"/>
        <w:right w:val="none" w:sz="0" w:space="0" w:color="auto"/>
      </w:divBdr>
      <w:divsChild>
        <w:div w:id="870724211">
          <w:marLeft w:val="0"/>
          <w:marRight w:val="0"/>
          <w:marTop w:val="0"/>
          <w:marBottom w:val="0"/>
          <w:divBdr>
            <w:top w:val="none" w:sz="0" w:space="0" w:color="auto"/>
            <w:left w:val="none" w:sz="0" w:space="0" w:color="auto"/>
            <w:bottom w:val="none" w:sz="0" w:space="0" w:color="auto"/>
            <w:right w:val="none" w:sz="0" w:space="0" w:color="auto"/>
          </w:divBdr>
        </w:div>
        <w:div w:id="20355690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 Type="http://schemas.openxmlformats.org/officeDocument/2006/relationships/settings" Target="settings.xml"/><Relationship Id="rId21" Type="http://schemas.openxmlformats.org/officeDocument/2006/relationships/oleObject" Target="embeddings/oleObject7.bin"/><Relationship Id="rId7" Type="http://schemas.openxmlformats.org/officeDocument/2006/relationships/hyperlink" Target="http://www.census.gov/population/international/data/idb/informationGateway.php" TargetMode="Externa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IISG</Company>
  <LinksUpToDate>false</LinksUpToDate>
  <CharactersWithSpaces>5166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IISG-User</dc:creator>
  <cp:lastModifiedBy>Bas</cp:lastModifiedBy>
  <cp:revision>3</cp:revision>
  <cp:lastPrinted>2012-04-10T10:31:00Z</cp:lastPrinted>
  <dcterms:created xsi:type="dcterms:W3CDTF">2014-05-29T10:25:00Z</dcterms:created>
  <dcterms:modified xsi:type="dcterms:W3CDTF">2014-05-29T10:25:00Z</dcterms:modified>
</cp:coreProperties>
</file>