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88" w:rsidRPr="008D7E0B" w:rsidRDefault="00312F88" w:rsidP="00312F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Required</w:t>
      </w:r>
      <w:r w:rsidRPr="008D7E0B">
        <w:rPr>
          <w:b/>
          <w:sz w:val="28"/>
          <w:szCs w:val="28"/>
          <w:lang w:val="en-US"/>
        </w:rPr>
        <w:t xml:space="preserve"> content of Working Paper CLIO-INFRA</w:t>
      </w:r>
    </w:p>
    <w:p w:rsidR="00312F88" w:rsidRDefault="00312F88" w:rsidP="00312F88">
      <w:pPr>
        <w:rPr>
          <w:b/>
          <w:lang w:val="en-US"/>
        </w:rPr>
      </w:pPr>
    </w:p>
    <w:p w:rsidR="00312F88" w:rsidRPr="008D7E0B" w:rsidRDefault="00312F88" w:rsidP="00312F88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312F88" w:rsidRDefault="00312F88" w:rsidP="00312F88">
      <w:pPr>
        <w:rPr>
          <w:lang w:val="en-US"/>
        </w:rPr>
      </w:pPr>
    </w:p>
    <w:p w:rsidR="00312F88" w:rsidRPr="00E42E4F" w:rsidRDefault="00312F88" w:rsidP="00312F88">
      <w:pPr>
        <w:rPr>
          <w:lang w:val="en-US"/>
        </w:rPr>
      </w:pPr>
      <w:r w:rsidRPr="00E42E4F">
        <w:rPr>
          <w:lang w:val="en-US"/>
        </w:rPr>
        <w:t>1. Title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Manganese</w:t>
      </w:r>
      <w:r>
        <w:rPr>
          <w:lang w:val="en-US"/>
        </w:rPr>
        <w:t xml:space="preserve"> mining production by decade and country</w:t>
      </w:r>
    </w:p>
    <w:p w:rsidR="00312F88" w:rsidRPr="006D3C34" w:rsidRDefault="00312F88" w:rsidP="00312F88">
      <w:r w:rsidRPr="006D3C34">
        <w:t>2. Author(s)</w:t>
      </w:r>
    </w:p>
    <w:p w:rsidR="00312F88" w:rsidRPr="00514925" w:rsidRDefault="00312F88" w:rsidP="00312F88">
      <w:r w:rsidRPr="006D3C34">
        <w:tab/>
      </w:r>
      <w:r w:rsidRPr="00514925">
        <w:t>Kees Klein Goldewijk &amp; Jonathan Fink-Jensen, Utrecht University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>3</w:t>
      </w:r>
      <w:r w:rsidRPr="00E42E4F">
        <w:rPr>
          <w:lang w:val="en-US"/>
        </w:rPr>
        <w:t>. Production date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2014-11-1.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>4</w:t>
      </w:r>
      <w:r w:rsidRPr="00E42E4F">
        <w:rPr>
          <w:lang w:val="en-US"/>
        </w:rPr>
        <w:t>. Version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1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Environmental sustainability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Manganese</w:t>
      </w:r>
      <w:r>
        <w:rPr>
          <w:lang w:val="en-US"/>
        </w:rPr>
        <w:t xml:space="preserve"> mine production, in </w:t>
      </w:r>
      <w:r>
        <w:rPr>
          <w:lang w:val="en-US"/>
        </w:rPr>
        <w:t>thousand m</w:t>
      </w:r>
      <w:r>
        <w:rPr>
          <w:lang w:val="en-US"/>
        </w:rPr>
        <w:t>etric tons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Country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Manganese</w:t>
      </w:r>
      <w:r>
        <w:rPr>
          <w:lang w:val="en-US"/>
        </w:rPr>
        <w:t xml:space="preserve">, Mine </w:t>
      </w:r>
      <w:r>
        <w:rPr>
          <w:lang w:val="en-US"/>
        </w:rPr>
        <w:t xml:space="preserve">production, </w:t>
      </w:r>
      <w:proofErr w:type="spellStart"/>
      <w:r>
        <w:rPr>
          <w:lang w:val="en-US"/>
        </w:rPr>
        <w:t>Mn</w:t>
      </w:r>
      <w:proofErr w:type="spellEnd"/>
    </w:p>
    <w:p w:rsidR="00312F88" w:rsidRDefault="00312F88" w:rsidP="00312F88">
      <w:pPr>
        <w:rPr>
          <w:lang w:val="en-US"/>
        </w:rPr>
      </w:pPr>
      <w:r w:rsidRPr="00837923">
        <w:rPr>
          <w:lang w:val="en-US"/>
        </w:rPr>
        <w:t>9. Abstract (200 words)</w:t>
      </w:r>
    </w:p>
    <w:p w:rsidR="00312F88" w:rsidRDefault="00312F88" w:rsidP="00312F88">
      <w:pPr>
        <w:pStyle w:val="Geenafstand"/>
        <w:ind w:left="708"/>
        <w:jc w:val="both"/>
        <w:rPr>
          <w:i/>
          <w:shd w:val="clear" w:color="auto" w:fill="FFFFFF"/>
          <w:lang w:val="en-GB"/>
        </w:rPr>
      </w:pPr>
      <w:r w:rsidRPr="0033246B">
        <w:rPr>
          <w:i/>
          <w:shd w:val="clear" w:color="auto" w:fill="FFFFFF"/>
          <w:lang w:val="en-GB"/>
        </w:rPr>
        <w:t>Manganese (</w:t>
      </w:r>
      <w:proofErr w:type="spellStart"/>
      <w:r w:rsidRPr="0033246B">
        <w:rPr>
          <w:i/>
          <w:shd w:val="clear" w:color="auto" w:fill="FFFFFF"/>
          <w:lang w:val="en-GB"/>
        </w:rPr>
        <w:t>Mn</w:t>
      </w:r>
      <w:proofErr w:type="spellEnd"/>
      <w:r w:rsidRPr="0033246B">
        <w:rPr>
          <w:i/>
          <w:shd w:val="clear" w:color="auto" w:fill="FFFFFF"/>
          <w:lang w:val="en-GB"/>
        </w:rPr>
        <w:t xml:space="preserve">) is essential to iron and steel production by virtue of its </w:t>
      </w:r>
      <w:proofErr w:type="spellStart"/>
      <w:r w:rsidRPr="0033246B">
        <w:rPr>
          <w:i/>
          <w:shd w:val="clear" w:color="auto" w:fill="FFFFFF"/>
          <w:lang w:val="en-GB"/>
        </w:rPr>
        <w:t>sulfur</w:t>
      </w:r>
      <w:proofErr w:type="spellEnd"/>
      <w:r w:rsidRPr="0033246B">
        <w:rPr>
          <w:i/>
          <w:shd w:val="clear" w:color="auto" w:fill="FFFFFF"/>
          <w:lang w:val="en-GB"/>
        </w:rPr>
        <w:t>-fixing, deoxidizing, and alloying properties. (..)</w:t>
      </w:r>
      <w:r>
        <w:rPr>
          <w:i/>
          <w:shd w:val="clear" w:color="auto" w:fill="FFFFFF"/>
          <w:lang w:val="en-GB"/>
        </w:rPr>
        <w:t xml:space="preserve"> </w:t>
      </w:r>
      <w:r w:rsidRPr="0033246B">
        <w:rPr>
          <w:i/>
          <w:shd w:val="clear" w:color="auto" w:fill="FFFFFF"/>
          <w:lang w:val="en-GB"/>
        </w:rPr>
        <w:t xml:space="preserve">Products for construction, machinery, and transportation are leading end uses of manganese. Manganese also is a key component of certain widely used </w:t>
      </w:r>
      <w:proofErr w:type="spellStart"/>
      <w:r w:rsidRPr="0033246B">
        <w:rPr>
          <w:i/>
          <w:shd w:val="clear" w:color="auto" w:fill="FFFFFF"/>
          <w:lang w:val="en-GB"/>
        </w:rPr>
        <w:t>aluminum</w:t>
      </w:r>
      <w:proofErr w:type="spellEnd"/>
      <w:r w:rsidRPr="0033246B">
        <w:rPr>
          <w:i/>
          <w:shd w:val="clear" w:color="auto" w:fill="FFFFFF"/>
          <w:lang w:val="en-GB"/>
        </w:rPr>
        <w:t xml:space="preserve"> alloys and, in oxide form, dry cell batteries. As ore, additional quantities of manganese are used for such </w:t>
      </w:r>
      <w:proofErr w:type="spellStart"/>
      <w:r w:rsidRPr="0033246B">
        <w:rPr>
          <w:i/>
          <w:shd w:val="clear" w:color="auto" w:fill="FFFFFF"/>
          <w:lang w:val="en-GB"/>
        </w:rPr>
        <w:t>nonmetallurgical</w:t>
      </w:r>
      <w:proofErr w:type="spellEnd"/>
      <w:r w:rsidRPr="0033246B">
        <w:rPr>
          <w:i/>
          <w:shd w:val="clear" w:color="auto" w:fill="FFFFFF"/>
          <w:lang w:val="en-GB"/>
        </w:rPr>
        <w:t xml:space="preserve"> purposes as plant fertilizers, animal feed, and colorants for brick.</w:t>
      </w:r>
    </w:p>
    <w:p w:rsidR="00312F88" w:rsidRDefault="00312F88" w:rsidP="00312F88">
      <w:pPr>
        <w:pStyle w:val="Geenafstand"/>
        <w:ind w:left="708"/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Source: </w:t>
      </w:r>
      <w:hyperlink r:id="rId4" w:history="1">
        <w:r w:rsidRPr="00014033">
          <w:rPr>
            <w:rStyle w:val="Hyperlink"/>
            <w:shd w:val="clear" w:color="auto" w:fill="FFFFFF"/>
            <w:lang w:val="en-GB"/>
          </w:rPr>
          <w:t>http://minerals.usgs.gov/minerals/pubs/commodity/manganese/</w:t>
        </w:r>
      </w:hyperlink>
      <w:r>
        <w:rPr>
          <w:shd w:val="clear" w:color="auto" w:fill="FFFFFF"/>
          <w:lang w:val="en-GB"/>
        </w:rPr>
        <w:t xml:space="preserve"> </w:t>
      </w:r>
    </w:p>
    <w:p w:rsidR="00312F88" w:rsidRPr="00837923" w:rsidRDefault="00312F88" w:rsidP="00312F88">
      <w:pPr>
        <w:rPr>
          <w:lang w:val="en-US"/>
        </w:rPr>
      </w:pPr>
      <w:r w:rsidRPr="00837923">
        <w:rPr>
          <w:lang w:val="en-US"/>
        </w:rPr>
        <w:t>10. Time period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1</w:t>
      </w:r>
      <w:r>
        <w:rPr>
          <w:lang w:val="en-US"/>
        </w:rPr>
        <w:t>835</w:t>
      </w:r>
      <w:r>
        <w:rPr>
          <w:lang w:val="en-US"/>
        </w:rPr>
        <w:t>-2012</w:t>
      </w:r>
    </w:p>
    <w:p w:rsidR="00312F88" w:rsidRPr="00E42E4F" w:rsidRDefault="00312F88" w:rsidP="00312F88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Worldwide</w:t>
      </w:r>
    </w:p>
    <w:p w:rsidR="00312F88" w:rsidRDefault="00312F88" w:rsidP="00312F88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312F88" w:rsidRPr="00460F8A" w:rsidRDefault="00312F88" w:rsidP="00312F88">
      <w:pPr>
        <w:ind w:firstLine="708"/>
        <w:rPr>
          <w:lang w:val="en-US"/>
        </w:rPr>
      </w:pPr>
      <w:r w:rsidRPr="00460F8A">
        <w:rPr>
          <w:rFonts w:cs="Calibri"/>
          <w:lang w:val="en-US"/>
        </w:rPr>
        <w:t>Data inventory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Good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>14</w:t>
      </w:r>
      <w:r w:rsidRPr="00E42E4F">
        <w:rPr>
          <w:lang w:val="en-US"/>
        </w:rPr>
        <w:t>. Date of collection</w:t>
      </w:r>
    </w:p>
    <w:p w:rsidR="00312F88" w:rsidRDefault="00312F88" w:rsidP="00312F88">
      <w:pPr>
        <w:rPr>
          <w:lang w:val="en-US"/>
        </w:rPr>
      </w:pPr>
      <w:r>
        <w:rPr>
          <w:lang w:val="en-US"/>
        </w:rPr>
        <w:tab/>
        <w:t>-</w:t>
      </w:r>
    </w:p>
    <w:p w:rsidR="00312F88" w:rsidRPr="00E42E4F" w:rsidRDefault="00312F88" w:rsidP="00312F88">
      <w:pPr>
        <w:rPr>
          <w:lang w:val="en-US"/>
        </w:rPr>
      </w:pPr>
      <w:r>
        <w:rPr>
          <w:lang w:val="en-US"/>
        </w:rPr>
        <w:t>15</w:t>
      </w:r>
      <w:r w:rsidRPr="00E42E4F">
        <w:rPr>
          <w:lang w:val="en-US"/>
        </w:rPr>
        <w:t>. Data collectors</w:t>
      </w:r>
    </w:p>
    <w:p w:rsidR="00312F88" w:rsidRDefault="00312F88" w:rsidP="00312F88">
      <w:pPr>
        <w:ind w:firstLine="708"/>
        <w:rPr>
          <w:lang w:val="en-US"/>
        </w:rPr>
      </w:pPr>
      <w:r>
        <w:rPr>
          <w:lang w:val="en-GB"/>
        </w:rPr>
        <w:t>British Geological Survey</w:t>
      </w:r>
      <w:r>
        <w:rPr>
          <w:lang w:val="en-US"/>
        </w:rPr>
        <w:t xml:space="preserve"> (BGS)</w:t>
      </w:r>
    </w:p>
    <w:p w:rsidR="00312F88" w:rsidRDefault="00312F88" w:rsidP="00312F88">
      <w:pPr>
        <w:ind w:firstLine="708"/>
        <w:rPr>
          <w:lang w:val="en-US"/>
        </w:rPr>
      </w:pPr>
      <w:hyperlink r:id="rId5" w:history="1">
        <w:r w:rsidRPr="002F1E8F">
          <w:rPr>
            <w:rStyle w:val="Hyperlink"/>
            <w:color w:val="auto"/>
            <w:u w:val="none"/>
            <w:lang w:val="en-US"/>
          </w:rPr>
          <w:t xml:space="preserve">U.S. </w:t>
        </w:r>
      </w:hyperlink>
      <w:r w:rsidRPr="00254101">
        <w:rPr>
          <w:lang w:val="en-US"/>
        </w:rPr>
        <w:t>Bureau of Mines</w:t>
      </w:r>
      <w:r w:rsidRPr="002F1E8F">
        <w:rPr>
          <w:lang w:val="en-US"/>
        </w:rPr>
        <w:t xml:space="preserve">, </w:t>
      </w:r>
      <w:hyperlink r:id="rId6" w:history="1">
        <w:r w:rsidRPr="002F1E8F">
          <w:rPr>
            <w:rStyle w:val="Hyperlink"/>
            <w:color w:val="auto"/>
            <w:u w:val="none"/>
            <w:lang w:val="en-US"/>
          </w:rPr>
          <w:t>U.S. Geological Survey</w:t>
        </w:r>
      </w:hyperlink>
      <w:r w:rsidRPr="002F1E8F">
        <w:rPr>
          <w:lang w:val="en-US"/>
        </w:rPr>
        <w:t xml:space="preserve"> (USGS</w:t>
      </w:r>
      <w:r>
        <w:rPr>
          <w:lang w:val="en-US"/>
        </w:rPr>
        <w:t>)</w:t>
      </w:r>
    </w:p>
    <w:p w:rsidR="00312F88" w:rsidRDefault="00312F88" w:rsidP="00312F88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312F88" w:rsidRPr="0019770B" w:rsidRDefault="00312F88" w:rsidP="00312F88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British Geological Survey, </w:t>
      </w:r>
      <w:r>
        <w:rPr>
          <w:i/>
          <w:lang w:val="en-GB"/>
        </w:rPr>
        <w:t>World Mineral Statistics</w:t>
      </w:r>
      <w:r>
        <w:rPr>
          <w:lang w:val="en-GB"/>
        </w:rPr>
        <w:t xml:space="preserve">, website: </w:t>
      </w:r>
      <w:hyperlink r:id="rId7" w:history="1">
        <w:r w:rsidRPr="0030502E">
          <w:rPr>
            <w:rStyle w:val="Hyperlink"/>
            <w:lang w:val="en-GB"/>
          </w:rPr>
          <w:t>https://www.bgs.ac.uk/mineralsuk/statistics/worldArchive.html</w:t>
        </w:r>
      </w:hyperlink>
      <w:r>
        <w:rPr>
          <w:lang w:val="en-GB"/>
        </w:rPr>
        <w:t xml:space="preserve"> (Last visited on: 13-11-2014). </w:t>
      </w:r>
    </w:p>
    <w:p w:rsidR="00312F88" w:rsidRDefault="00312F88" w:rsidP="00312F88">
      <w:pPr>
        <w:pStyle w:val="Geenafstand"/>
        <w:ind w:left="708"/>
        <w:rPr>
          <w:lang w:val="en-GB"/>
        </w:rPr>
      </w:pPr>
    </w:p>
    <w:p w:rsidR="00312F88" w:rsidRDefault="00312F88" w:rsidP="00312F88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Africa, Asia &amp; Oceania 1750-2005</w:t>
      </w:r>
      <w:r>
        <w:rPr>
          <w:lang w:val="en-GB"/>
        </w:rPr>
        <w:t xml:space="preserve"> (London, 2007).</w:t>
      </w:r>
    </w:p>
    <w:p w:rsidR="00312F88" w:rsidRDefault="00312F88" w:rsidP="00312F88">
      <w:pPr>
        <w:pStyle w:val="Geenafstand"/>
        <w:ind w:left="708"/>
        <w:rPr>
          <w:lang w:val="en-GB"/>
        </w:rPr>
      </w:pPr>
    </w:p>
    <w:p w:rsidR="00312F88" w:rsidRDefault="00312F88" w:rsidP="00312F88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Europe</w:t>
      </w:r>
      <w:r>
        <w:rPr>
          <w:lang w:val="en-GB"/>
        </w:rPr>
        <w:t xml:space="preserve"> (London, 2007).</w:t>
      </w:r>
    </w:p>
    <w:p w:rsidR="00312F88" w:rsidRDefault="00312F88" w:rsidP="00312F88">
      <w:pPr>
        <w:pStyle w:val="Geenafstand"/>
        <w:ind w:left="708"/>
        <w:rPr>
          <w:lang w:val="en-GB"/>
        </w:rPr>
      </w:pPr>
    </w:p>
    <w:p w:rsidR="00312F88" w:rsidRDefault="00312F88" w:rsidP="00312F88">
      <w:pPr>
        <w:pStyle w:val="Geenafstand"/>
        <w:ind w:left="708"/>
        <w:rPr>
          <w:lang w:val="en-GB"/>
        </w:rPr>
      </w:pPr>
      <w:r>
        <w:rPr>
          <w:lang w:val="en-GB"/>
        </w:rPr>
        <w:lastRenderedPageBreak/>
        <w:t xml:space="preserve">Mitchell, B.R., </w:t>
      </w:r>
      <w:r>
        <w:rPr>
          <w:i/>
          <w:lang w:val="en-GB"/>
        </w:rPr>
        <w:t>International Historical Statistics – The Americas 1750-2005</w:t>
      </w:r>
      <w:r>
        <w:rPr>
          <w:lang w:val="en-GB"/>
        </w:rPr>
        <w:t xml:space="preserve"> (London, 2007).</w:t>
      </w:r>
    </w:p>
    <w:p w:rsidR="00312F88" w:rsidRDefault="00312F88" w:rsidP="00312F88">
      <w:pPr>
        <w:pStyle w:val="Geenafstand"/>
        <w:ind w:left="708"/>
        <w:rPr>
          <w:lang w:val="en-GB"/>
        </w:rPr>
      </w:pPr>
    </w:p>
    <w:p w:rsidR="00312F88" w:rsidRDefault="00312F88" w:rsidP="00312F88">
      <w:pPr>
        <w:pStyle w:val="Geenafstand"/>
        <w:ind w:left="708"/>
        <w:rPr>
          <w:lang w:val="en-GB"/>
        </w:rPr>
      </w:pPr>
      <w:r w:rsidRPr="0019770B">
        <w:rPr>
          <w:lang w:val="en-GB"/>
        </w:rPr>
        <w:t xml:space="preserve">Schmitz, Christopher J., </w:t>
      </w:r>
      <w:r w:rsidRPr="0019770B">
        <w:rPr>
          <w:i/>
          <w:lang w:val="en-GB"/>
        </w:rPr>
        <w:t>World Non-Ferrous Metal Production and Prices, 1700-1976</w:t>
      </w:r>
      <w:r>
        <w:rPr>
          <w:lang w:val="en-GB"/>
        </w:rPr>
        <w:t xml:space="preserve"> (London, 1979).</w:t>
      </w:r>
    </w:p>
    <w:p w:rsidR="00312F88" w:rsidRDefault="00312F88" w:rsidP="00312F88">
      <w:pPr>
        <w:pStyle w:val="Geenafstand"/>
        <w:rPr>
          <w:lang w:val="en-GB"/>
        </w:rPr>
      </w:pPr>
      <w:bookmarkStart w:id="0" w:name="_GoBack"/>
      <w:bookmarkEnd w:id="0"/>
    </w:p>
    <w:p w:rsidR="00312F88" w:rsidRDefault="00312F88" w:rsidP="00312F88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U.S. Geological Survey, </w:t>
      </w:r>
      <w:r>
        <w:rPr>
          <w:i/>
          <w:lang w:val="en-GB"/>
        </w:rPr>
        <w:t>Historical Statistics for Mineral and Material Commodities in the United States</w:t>
      </w:r>
      <w:r>
        <w:rPr>
          <w:lang w:val="en-GB"/>
        </w:rPr>
        <w:t xml:space="preserve">, website: </w:t>
      </w:r>
      <w:hyperlink r:id="rId8" w:history="1">
        <w:r w:rsidRPr="0030502E">
          <w:rPr>
            <w:rStyle w:val="Hyperlink"/>
            <w:lang w:val="en-GB"/>
          </w:rPr>
          <w:t>http://minerals.usgs.gov/minerals/pubs/historical-statistics/</w:t>
        </w:r>
      </w:hyperlink>
      <w:r>
        <w:rPr>
          <w:lang w:val="en-GB"/>
        </w:rPr>
        <w:t xml:space="preserve"> (Last visited on: 13-11-2014).</w:t>
      </w:r>
    </w:p>
    <w:p w:rsidR="00312F88" w:rsidRDefault="00312F88" w:rsidP="00312F88">
      <w:pPr>
        <w:ind w:left="720" w:hanging="12"/>
        <w:rPr>
          <w:rFonts w:cs="Calibri"/>
          <w:noProof/>
          <w:lang w:val="en-US"/>
        </w:rPr>
      </w:pPr>
      <w:r>
        <w:rPr>
          <w:rFonts w:cs="Calibri"/>
          <w:lang w:val="en-US"/>
        </w:rPr>
        <w:fldChar w:fldCharType="begin"/>
      </w:r>
      <w:r>
        <w:rPr>
          <w:rFonts w:cs="Calibri"/>
          <w:lang w:val="en-US"/>
        </w:rPr>
        <w:instrText xml:space="preserve"> ADDIN EN.REFLIST </w:instrText>
      </w:r>
      <w:r>
        <w:rPr>
          <w:rFonts w:cs="Calibri"/>
          <w:lang w:val="en-US"/>
        </w:rPr>
        <w:fldChar w:fldCharType="separate"/>
      </w:r>
    </w:p>
    <w:p w:rsidR="00312F88" w:rsidRDefault="00312F88" w:rsidP="00312F88">
      <w:pPr>
        <w:rPr>
          <w:rFonts w:cs="Calibri"/>
          <w:noProof/>
          <w:lang w:val="en-US"/>
        </w:rPr>
      </w:pPr>
    </w:p>
    <w:p w:rsidR="00312F88" w:rsidRDefault="00312F88" w:rsidP="00312F88">
      <w:pPr>
        <w:ind w:left="709"/>
        <w:rPr>
          <w:rFonts w:cs="Calibri"/>
          <w:lang w:val="en-US"/>
        </w:rPr>
      </w:pPr>
      <w:r>
        <w:rPr>
          <w:rFonts w:cs="Calibri"/>
          <w:lang w:val="en-US"/>
        </w:rPr>
        <w:fldChar w:fldCharType="end"/>
      </w:r>
    </w:p>
    <w:p w:rsidR="00312F88" w:rsidRDefault="00312F88" w:rsidP="00312F88">
      <w:pPr>
        <w:ind w:left="709"/>
        <w:rPr>
          <w:rFonts w:cs="Calibri"/>
          <w:lang w:val="en-US"/>
        </w:rPr>
      </w:pPr>
    </w:p>
    <w:p w:rsidR="00312F88" w:rsidRPr="0034320D" w:rsidRDefault="00312F88" w:rsidP="00312F88">
      <w:pPr>
        <w:ind w:left="709"/>
        <w:rPr>
          <w:rFonts w:cs="Calibri"/>
          <w:lang w:val="en-US"/>
        </w:rPr>
      </w:pPr>
    </w:p>
    <w:p w:rsidR="00AB24D3" w:rsidRPr="00312F88" w:rsidRDefault="00AB24D3">
      <w:pPr>
        <w:rPr>
          <w:lang w:val="en-US"/>
        </w:rPr>
      </w:pPr>
    </w:p>
    <w:sectPr w:rsidR="00AB24D3" w:rsidRPr="00312F88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8"/>
    <w:rsid w:val="00000005"/>
    <w:rsid w:val="00001693"/>
    <w:rsid w:val="00020A3A"/>
    <w:rsid w:val="00022F66"/>
    <w:rsid w:val="00031059"/>
    <w:rsid w:val="000402A5"/>
    <w:rsid w:val="000512DA"/>
    <w:rsid w:val="00067D72"/>
    <w:rsid w:val="00070562"/>
    <w:rsid w:val="000755BB"/>
    <w:rsid w:val="000819B4"/>
    <w:rsid w:val="00087CFF"/>
    <w:rsid w:val="00097A2C"/>
    <w:rsid w:val="00097DC4"/>
    <w:rsid w:val="000A2A5F"/>
    <w:rsid w:val="000A6225"/>
    <w:rsid w:val="000B226D"/>
    <w:rsid w:val="000B3EC2"/>
    <w:rsid w:val="000B459A"/>
    <w:rsid w:val="000C266F"/>
    <w:rsid w:val="000C4E25"/>
    <w:rsid w:val="000C57F2"/>
    <w:rsid w:val="000C65E3"/>
    <w:rsid w:val="000D7B48"/>
    <w:rsid w:val="000F2AA2"/>
    <w:rsid w:val="000F5432"/>
    <w:rsid w:val="00101265"/>
    <w:rsid w:val="00102091"/>
    <w:rsid w:val="00113204"/>
    <w:rsid w:val="00115A94"/>
    <w:rsid w:val="001179E7"/>
    <w:rsid w:val="001448BD"/>
    <w:rsid w:val="00145A96"/>
    <w:rsid w:val="00154991"/>
    <w:rsid w:val="00156377"/>
    <w:rsid w:val="0016253B"/>
    <w:rsid w:val="001700F1"/>
    <w:rsid w:val="00180016"/>
    <w:rsid w:val="001A236C"/>
    <w:rsid w:val="001A2495"/>
    <w:rsid w:val="001B165D"/>
    <w:rsid w:val="001C29B5"/>
    <w:rsid w:val="001F2259"/>
    <w:rsid w:val="002013A4"/>
    <w:rsid w:val="002021C1"/>
    <w:rsid w:val="00212D84"/>
    <w:rsid w:val="00213EDC"/>
    <w:rsid w:val="00214536"/>
    <w:rsid w:val="00223A16"/>
    <w:rsid w:val="00224326"/>
    <w:rsid w:val="002359F9"/>
    <w:rsid w:val="00245017"/>
    <w:rsid w:val="002568F9"/>
    <w:rsid w:val="00263139"/>
    <w:rsid w:val="002666AE"/>
    <w:rsid w:val="00266816"/>
    <w:rsid w:val="00270F0F"/>
    <w:rsid w:val="00277E4E"/>
    <w:rsid w:val="002802F5"/>
    <w:rsid w:val="00280826"/>
    <w:rsid w:val="00280B57"/>
    <w:rsid w:val="00281AAA"/>
    <w:rsid w:val="00290B19"/>
    <w:rsid w:val="00292759"/>
    <w:rsid w:val="00292ADF"/>
    <w:rsid w:val="002978AE"/>
    <w:rsid w:val="002B1F00"/>
    <w:rsid w:val="002C03BC"/>
    <w:rsid w:val="002C380E"/>
    <w:rsid w:val="002C4E49"/>
    <w:rsid w:val="002F41E8"/>
    <w:rsid w:val="002F785A"/>
    <w:rsid w:val="00302EF1"/>
    <w:rsid w:val="00312F88"/>
    <w:rsid w:val="00316442"/>
    <w:rsid w:val="00326235"/>
    <w:rsid w:val="00331DC7"/>
    <w:rsid w:val="0033777E"/>
    <w:rsid w:val="0035279B"/>
    <w:rsid w:val="00366CAC"/>
    <w:rsid w:val="003673C4"/>
    <w:rsid w:val="00376941"/>
    <w:rsid w:val="00386329"/>
    <w:rsid w:val="00392D8C"/>
    <w:rsid w:val="00393086"/>
    <w:rsid w:val="003A1E6B"/>
    <w:rsid w:val="003A7B0F"/>
    <w:rsid w:val="003C0DD4"/>
    <w:rsid w:val="003C4CF4"/>
    <w:rsid w:val="003D12A2"/>
    <w:rsid w:val="003E17F9"/>
    <w:rsid w:val="003E795B"/>
    <w:rsid w:val="003F234B"/>
    <w:rsid w:val="003F508E"/>
    <w:rsid w:val="003F661F"/>
    <w:rsid w:val="003F699F"/>
    <w:rsid w:val="003F6B32"/>
    <w:rsid w:val="004010A8"/>
    <w:rsid w:val="00402EE9"/>
    <w:rsid w:val="004133FC"/>
    <w:rsid w:val="004141B0"/>
    <w:rsid w:val="00417200"/>
    <w:rsid w:val="004203AD"/>
    <w:rsid w:val="00422530"/>
    <w:rsid w:val="00423112"/>
    <w:rsid w:val="00427718"/>
    <w:rsid w:val="0044158F"/>
    <w:rsid w:val="00442BA3"/>
    <w:rsid w:val="004548B2"/>
    <w:rsid w:val="00475E1F"/>
    <w:rsid w:val="004871CC"/>
    <w:rsid w:val="00491A87"/>
    <w:rsid w:val="00493E3A"/>
    <w:rsid w:val="00495E84"/>
    <w:rsid w:val="00496DD5"/>
    <w:rsid w:val="004B0A38"/>
    <w:rsid w:val="004B384C"/>
    <w:rsid w:val="004B6D23"/>
    <w:rsid w:val="004C45B8"/>
    <w:rsid w:val="004C594D"/>
    <w:rsid w:val="004C7B02"/>
    <w:rsid w:val="004C7FC0"/>
    <w:rsid w:val="004D0428"/>
    <w:rsid w:val="004D18F3"/>
    <w:rsid w:val="004D5C70"/>
    <w:rsid w:val="004E0F2D"/>
    <w:rsid w:val="004E0F61"/>
    <w:rsid w:val="004E6791"/>
    <w:rsid w:val="00501DD9"/>
    <w:rsid w:val="0050270F"/>
    <w:rsid w:val="0050372F"/>
    <w:rsid w:val="0050456B"/>
    <w:rsid w:val="00510A50"/>
    <w:rsid w:val="00513ACE"/>
    <w:rsid w:val="00527354"/>
    <w:rsid w:val="00530AF4"/>
    <w:rsid w:val="00534B23"/>
    <w:rsid w:val="00552AF4"/>
    <w:rsid w:val="00562AD9"/>
    <w:rsid w:val="00565049"/>
    <w:rsid w:val="005675BB"/>
    <w:rsid w:val="005724E1"/>
    <w:rsid w:val="005775B4"/>
    <w:rsid w:val="005862C3"/>
    <w:rsid w:val="00594811"/>
    <w:rsid w:val="005957CD"/>
    <w:rsid w:val="005A20A5"/>
    <w:rsid w:val="005A4DB4"/>
    <w:rsid w:val="005B1B11"/>
    <w:rsid w:val="005C4C45"/>
    <w:rsid w:val="005D3DFD"/>
    <w:rsid w:val="005D6ED5"/>
    <w:rsid w:val="0061120F"/>
    <w:rsid w:val="00611718"/>
    <w:rsid w:val="00616695"/>
    <w:rsid w:val="006202E1"/>
    <w:rsid w:val="0062412A"/>
    <w:rsid w:val="00630095"/>
    <w:rsid w:val="0063089C"/>
    <w:rsid w:val="0063435B"/>
    <w:rsid w:val="0064062B"/>
    <w:rsid w:val="00642270"/>
    <w:rsid w:val="006565A7"/>
    <w:rsid w:val="006851CE"/>
    <w:rsid w:val="006C4606"/>
    <w:rsid w:val="006C64FE"/>
    <w:rsid w:val="006D000C"/>
    <w:rsid w:val="006D2B34"/>
    <w:rsid w:val="006D2D98"/>
    <w:rsid w:val="006D4D7A"/>
    <w:rsid w:val="006E63A1"/>
    <w:rsid w:val="006F587E"/>
    <w:rsid w:val="0070108C"/>
    <w:rsid w:val="00707199"/>
    <w:rsid w:val="00710317"/>
    <w:rsid w:val="007204DE"/>
    <w:rsid w:val="0072284C"/>
    <w:rsid w:val="00726982"/>
    <w:rsid w:val="00731711"/>
    <w:rsid w:val="007421BA"/>
    <w:rsid w:val="007432E4"/>
    <w:rsid w:val="00744403"/>
    <w:rsid w:val="00745D00"/>
    <w:rsid w:val="007472EA"/>
    <w:rsid w:val="007565DE"/>
    <w:rsid w:val="00766037"/>
    <w:rsid w:val="00771B3A"/>
    <w:rsid w:val="0077430E"/>
    <w:rsid w:val="00781AE3"/>
    <w:rsid w:val="007B0D6E"/>
    <w:rsid w:val="007D50EC"/>
    <w:rsid w:val="007E3CA7"/>
    <w:rsid w:val="007E6A6A"/>
    <w:rsid w:val="007F69E9"/>
    <w:rsid w:val="008042C6"/>
    <w:rsid w:val="00812527"/>
    <w:rsid w:val="008255D7"/>
    <w:rsid w:val="00831EED"/>
    <w:rsid w:val="00845239"/>
    <w:rsid w:val="00854385"/>
    <w:rsid w:val="00866DBB"/>
    <w:rsid w:val="008759D2"/>
    <w:rsid w:val="0087750E"/>
    <w:rsid w:val="0088359E"/>
    <w:rsid w:val="008945AA"/>
    <w:rsid w:val="008A5C3A"/>
    <w:rsid w:val="008A68CE"/>
    <w:rsid w:val="008B071B"/>
    <w:rsid w:val="008B583A"/>
    <w:rsid w:val="008C309B"/>
    <w:rsid w:val="008E6E71"/>
    <w:rsid w:val="008F7C11"/>
    <w:rsid w:val="00902BA8"/>
    <w:rsid w:val="009175A1"/>
    <w:rsid w:val="00922D76"/>
    <w:rsid w:val="00922E9D"/>
    <w:rsid w:val="0092642C"/>
    <w:rsid w:val="00944916"/>
    <w:rsid w:val="00956AD0"/>
    <w:rsid w:val="009638AB"/>
    <w:rsid w:val="00964829"/>
    <w:rsid w:val="00964D43"/>
    <w:rsid w:val="00981986"/>
    <w:rsid w:val="009835D2"/>
    <w:rsid w:val="00990B60"/>
    <w:rsid w:val="009A4298"/>
    <w:rsid w:val="009A5670"/>
    <w:rsid w:val="009C7AF9"/>
    <w:rsid w:val="009E4BD3"/>
    <w:rsid w:val="009F337E"/>
    <w:rsid w:val="009F373C"/>
    <w:rsid w:val="00A07D53"/>
    <w:rsid w:val="00A11BE8"/>
    <w:rsid w:val="00A352C2"/>
    <w:rsid w:val="00A370DE"/>
    <w:rsid w:val="00A40BAC"/>
    <w:rsid w:val="00A4116A"/>
    <w:rsid w:val="00A46BD4"/>
    <w:rsid w:val="00A66518"/>
    <w:rsid w:val="00A73272"/>
    <w:rsid w:val="00A752EE"/>
    <w:rsid w:val="00A87CD9"/>
    <w:rsid w:val="00A94F02"/>
    <w:rsid w:val="00A97EE1"/>
    <w:rsid w:val="00AA58A5"/>
    <w:rsid w:val="00AB1C90"/>
    <w:rsid w:val="00AB24D3"/>
    <w:rsid w:val="00AF651C"/>
    <w:rsid w:val="00AF7378"/>
    <w:rsid w:val="00AF79A9"/>
    <w:rsid w:val="00AF7B29"/>
    <w:rsid w:val="00AF7CA6"/>
    <w:rsid w:val="00B2031A"/>
    <w:rsid w:val="00B27A11"/>
    <w:rsid w:val="00B32F7F"/>
    <w:rsid w:val="00B44F50"/>
    <w:rsid w:val="00B51692"/>
    <w:rsid w:val="00B55382"/>
    <w:rsid w:val="00B6271C"/>
    <w:rsid w:val="00B629F4"/>
    <w:rsid w:val="00B66DE6"/>
    <w:rsid w:val="00B76A91"/>
    <w:rsid w:val="00B83083"/>
    <w:rsid w:val="00B84CF8"/>
    <w:rsid w:val="00B87782"/>
    <w:rsid w:val="00B91187"/>
    <w:rsid w:val="00B95FD1"/>
    <w:rsid w:val="00BD4D88"/>
    <w:rsid w:val="00C00285"/>
    <w:rsid w:val="00C151BB"/>
    <w:rsid w:val="00C248D2"/>
    <w:rsid w:val="00C27715"/>
    <w:rsid w:val="00C33760"/>
    <w:rsid w:val="00C35401"/>
    <w:rsid w:val="00C3558A"/>
    <w:rsid w:val="00C3690D"/>
    <w:rsid w:val="00C41230"/>
    <w:rsid w:val="00C4661C"/>
    <w:rsid w:val="00C557CE"/>
    <w:rsid w:val="00C56DF9"/>
    <w:rsid w:val="00C605EB"/>
    <w:rsid w:val="00C67EBC"/>
    <w:rsid w:val="00C70ADA"/>
    <w:rsid w:val="00C748A1"/>
    <w:rsid w:val="00C76E58"/>
    <w:rsid w:val="00C823CA"/>
    <w:rsid w:val="00C91392"/>
    <w:rsid w:val="00CA21B1"/>
    <w:rsid w:val="00CB11D3"/>
    <w:rsid w:val="00CB2F14"/>
    <w:rsid w:val="00CC59F8"/>
    <w:rsid w:val="00CC61A6"/>
    <w:rsid w:val="00CE07EB"/>
    <w:rsid w:val="00CF25FA"/>
    <w:rsid w:val="00D03EA2"/>
    <w:rsid w:val="00D11AD3"/>
    <w:rsid w:val="00D14C20"/>
    <w:rsid w:val="00D17F98"/>
    <w:rsid w:val="00D27FE5"/>
    <w:rsid w:val="00D3732F"/>
    <w:rsid w:val="00D46D54"/>
    <w:rsid w:val="00D61402"/>
    <w:rsid w:val="00D764A4"/>
    <w:rsid w:val="00D7782D"/>
    <w:rsid w:val="00D837C9"/>
    <w:rsid w:val="00D852B2"/>
    <w:rsid w:val="00D93E3E"/>
    <w:rsid w:val="00D95DD3"/>
    <w:rsid w:val="00D962DC"/>
    <w:rsid w:val="00DA7449"/>
    <w:rsid w:val="00DB77BD"/>
    <w:rsid w:val="00DC5916"/>
    <w:rsid w:val="00DC5E43"/>
    <w:rsid w:val="00DC73F7"/>
    <w:rsid w:val="00DD2960"/>
    <w:rsid w:val="00DD4265"/>
    <w:rsid w:val="00DE314C"/>
    <w:rsid w:val="00DE4F3F"/>
    <w:rsid w:val="00DF0F65"/>
    <w:rsid w:val="00E04340"/>
    <w:rsid w:val="00E10067"/>
    <w:rsid w:val="00E15D48"/>
    <w:rsid w:val="00E23889"/>
    <w:rsid w:val="00E23D46"/>
    <w:rsid w:val="00E41DEA"/>
    <w:rsid w:val="00E438D8"/>
    <w:rsid w:val="00E507A3"/>
    <w:rsid w:val="00E65F74"/>
    <w:rsid w:val="00E7310A"/>
    <w:rsid w:val="00E76F01"/>
    <w:rsid w:val="00E90720"/>
    <w:rsid w:val="00EB181D"/>
    <w:rsid w:val="00EC2DFD"/>
    <w:rsid w:val="00ED106D"/>
    <w:rsid w:val="00ED25A3"/>
    <w:rsid w:val="00ED6A51"/>
    <w:rsid w:val="00EE19CE"/>
    <w:rsid w:val="00EE78F8"/>
    <w:rsid w:val="00F06EAE"/>
    <w:rsid w:val="00F076CD"/>
    <w:rsid w:val="00F07E24"/>
    <w:rsid w:val="00F17C8A"/>
    <w:rsid w:val="00F2173D"/>
    <w:rsid w:val="00F223FA"/>
    <w:rsid w:val="00F30020"/>
    <w:rsid w:val="00F338BA"/>
    <w:rsid w:val="00F54CAA"/>
    <w:rsid w:val="00F54EFB"/>
    <w:rsid w:val="00F60C3A"/>
    <w:rsid w:val="00F65B21"/>
    <w:rsid w:val="00F70308"/>
    <w:rsid w:val="00F7042C"/>
    <w:rsid w:val="00F7304A"/>
    <w:rsid w:val="00F76122"/>
    <w:rsid w:val="00F773AF"/>
    <w:rsid w:val="00F824D8"/>
    <w:rsid w:val="00F94015"/>
    <w:rsid w:val="00F96D77"/>
    <w:rsid w:val="00FB17C8"/>
    <w:rsid w:val="00FB1AA9"/>
    <w:rsid w:val="00FB78E2"/>
    <w:rsid w:val="00FC7CC4"/>
    <w:rsid w:val="00FD041D"/>
    <w:rsid w:val="00FD4DA4"/>
    <w:rsid w:val="00FE4F34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5C346-624B-4124-B118-3BC0F0BB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12F8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2F88"/>
    <w:rPr>
      <w:color w:val="0000FF"/>
      <w:u w:val="single"/>
    </w:rPr>
  </w:style>
  <w:style w:type="paragraph" w:styleId="Geenafstand">
    <w:name w:val="No Spacing"/>
    <w:uiPriority w:val="1"/>
    <w:qFormat/>
    <w:rsid w:val="00312F8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erals.usgs.gov/minerals/pubs/historical-statis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gs.ac.uk/mineralsuk/statistics/worldArchiv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gs.gov/" TargetMode="External"/><Relationship Id="rId5" Type="http://schemas.openxmlformats.org/officeDocument/2006/relationships/hyperlink" Target="http://www.doi.go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inerals.usgs.gov/minerals/pubs/commodity/mangane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Jonathan Fink-Jensen</cp:lastModifiedBy>
  <cp:revision>1</cp:revision>
  <dcterms:created xsi:type="dcterms:W3CDTF">2014-11-13T14:35:00Z</dcterms:created>
  <dcterms:modified xsi:type="dcterms:W3CDTF">2014-11-13T14:37:00Z</dcterms:modified>
</cp:coreProperties>
</file>