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A2" w:rsidRDefault="00073BA9" w:rsidP="0022249F">
      <w:pPr>
        <w:rPr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BA6255">
        <w:rPr>
          <w:b/>
          <w:sz w:val="28"/>
          <w:szCs w:val="28"/>
          <w:lang w:val="en-US"/>
        </w:rPr>
        <w:t xml:space="preserve">: </w:t>
      </w:r>
      <w:r w:rsidR="00BA6255" w:rsidRPr="00BA6255">
        <w:rPr>
          <w:b/>
          <w:sz w:val="28"/>
          <w:szCs w:val="28"/>
          <w:lang w:val="en-US"/>
        </w:rPr>
        <w:t>Competitiveness of Executive Recruitment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BA6255" w:rsidRPr="00BA6255">
        <w:rPr>
          <w:lang w:val="en-US"/>
        </w:rPr>
        <w:t xml:space="preserve">Competitiveness of Executive Recruitment </w:t>
      </w:r>
      <w:r w:rsidR="00F324B7">
        <w:rPr>
          <w:lang w:val="en-US"/>
        </w:rPr>
        <w:t>(</w:t>
      </w:r>
      <w:r w:rsidR="00BA6255">
        <w:rPr>
          <w:lang w:val="en-US"/>
        </w:rPr>
        <w:t>X</w:t>
      </w:r>
      <w:r w:rsidR="00A61328">
        <w:rPr>
          <w:lang w:val="en-US"/>
        </w:rPr>
        <w:t>RCOMP</w:t>
      </w:r>
      <w:r w:rsidR="00513166">
        <w:rPr>
          <w:lang w:val="en-US"/>
        </w:rPr>
        <w:t>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r w:rsidR="00513166" w:rsidRPr="00513166">
        <w:rPr>
          <w:lang w:val="en-US"/>
        </w:rPr>
        <w:t>Ma</w:t>
      </w:r>
      <w:r w:rsidR="00513166">
        <w:rPr>
          <w:lang w:val="en-US"/>
        </w:rPr>
        <w:t>rhsall, M.G., Gurr, T.R., Jaggers,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BA6255" w:rsidRDefault="008D7E0B" w:rsidP="00BA6255">
      <w:pPr>
        <w:jc w:val="both"/>
        <w:rPr>
          <w:lang w:val="en-US"/>
        </w:rPr>
      </w:pPr>
      <w:r>
        <w:rPr>
          <w:lang w:val="en-US"/>
        </w:rPr>
        <w:tab/>
      </w:r>
      <w:r w:rsidR="00FB397C">
        <w:rPr>
          <w:lang w:val="en-US"/>
        </w:rPr>
        <w:t>-</w:t>
      </w:r>
      <w:r w:rsidR="00FB397C" w:rsidRPr="00FB397C">
        <w:rPr>
          <w:lang w:val="en-US"/>
        </w:rPr>
        <w:t xml:space="preserve"> </w:t>
      </w:r>
      <w:r w:rsidR="00BA6255" w:rsidRPr="00BA6255">
        <w:rPr>
          <w:lang w:val="en-US"/>
        </w:rPr>
        <w:t>Competitiveness of Executive Recruitment</w:t>
      </w:r>
      <w:r w:rsidR="00D4087B">
        <w:rPr>
          <w:lang w:val="en-US"/>
        </w:rPr>
        <w:t xml:space="preserve">, </w:t>
      </w:r>
      <w:r w:rsidR="00F67997">
        <w:rPr>
          <w:lang w:val="en-US"/>
        </w:rPr>
        <w:t xml:space="preserve">1 - </w:t>
      </w:r>
      <w:r w:rsidR="00BA6255">
        <w:rPr>
          <w:lang w:val="en-US"/>
        </w:rPr>
        <w:t>Selection</w:t>
      </w:r>
      <w:r w:rsidR="00BA6255" w:rsidRPr="00BA6255">
        <w:rPr>
          <w:lang w:val="en-US"/>
        </w:rPr>
        <w:t xml:space="preserve"> </w:t>
      </w:r>
      <w:r w:rsidR="00BA6255">
        <w:rPr>
          <w:lang w:val="en-US"/>
        </w:rPr>
        <w:t>(</w:t>
      </w:r>
      <w:r w:rsidR="00BA6255" w:rsidRPr="00BA6255">
        <w:rPr>
          <w:lang w:val="en-US"/>
        </w:rPr>
        <w:t>Chief executives are determined by hereditary</w:t>
      </w:r>
      <w:r w:rsidR="00BA6255">
        <w:rPr>
          <w:lang w:val="en-US"/>
        </w:rPr>
        <w:t xml:space="preserve"> succession, designation, or by </w:t>
      </w:r>
      <w:r w:rsidR="00BA6255" w:rsidRPr="00BA6255">
        <w:rPr>
          <w:lang w:val="en-US"/>
        </w:rPr>
        <w:t>a combination of both</w:t>
      </w:r>
      <w:r w:rsidR="00BA6255">
        <w:rPr>
          <w:lang w:val="en-US"/>
        </w:rPr>
        <w:t>)</w:t>
      </w:r>
      <w:r w:rsidR="00F67997">
        <w:rPr>
          <w:lang w:val="en-US"/>
        </w:rPr>
        <w:t>,</w:t>
      </w:r>
      <w:r w:rsidR="00F67997" w:rsidRPr="00F67997">
        <w:rPr>
          <w:lang w:val="en-US"/>
        </w:rPr>
        <w:t xml:space="preserve"> </w:t>
      </w:r>
      <w:r w:rsidR="00BA6255">
        <w:rPr>
          <w:lang w:val="en-US"/>
        </w:rPr>
        <w:t>2 - Dual/Transitional</w:t>
      </w:r>
      <w:r w:rsidR="00BA6255" w:rsidRPr="00BA6255">
        <w:rPr>
          <w:lang w:val="en-US"/>
        </w:rPr>
        <w:t xml:space="preserve"> </w:t>
      </w:r>
    </w:p>
    <w:p w:rsidR="00BA6255" w:rsidRPr="00BA6255" w:rsidRDefault="00BA6255" w:rsidP="00BA6255">
      <w:pPr>
        <w:jc w:val="both"/>
        <w:rPr>
          <w:lang w:val="en-US"/>
        </w:rPr>
      </w:pPr>
      <w:r>
        <w:rPr>
          <w:lang w:val="en-US"/>
        </w:rPr>
        <w:t>(</w:t>
      </w:r>
      <w:r w:rsidRPr="00BA6255">
        <w:rPr>
          <w:lang w:val="en-US"/>
        </w:rPr>
        <w:t>Dual executives in which one is chosen by hereditary succession, the</w:t>
      </w:r>
      <w:r>
        <w:rPr>
          <w:lang w:val="en-US"/>
        </w:rPr>
        <w:t xml:space="preserve"> </w:t>
      </w:r>
      <w:r w:rsidRPr="00BA6255">
        <w:rPr>
          <w:lang w:val="en-US"/>
        </w:rPr>
        <w:t>other by competitive election.</w:t>
      </w:r>
      <w:r>
        <w:rPr>
          <w:lang w:val="en-US"/>
        </w:rPr>
        <w:t>)</w:t>
      </w:r>
      <w:r w:rsidR="006E66B0">
        <w:rPr>
          <w:lang w:val="en-US"/>
        </w:rPr>
        <w:t xml:space="preserve">, 3 </w:t>
      </w:r>
      <w:r w:rsidR="00F67997">
        <w:rPr>
          <w:lang w:val="en-US"/>
        </w:rPr>
        <w:t>-</w:t>
      </w:r>
      <w:r>
        <w:rPr>
          <w:lang w:val="en-US"/>
        </w:rPr>
        <w:t xml:space="preserve"> Election</w:t>
      </w:r>
      <w:r w:rsidRPr="00BA6255">
        <w:rPr>
          <w:lang w:val="en-US"/>
        </w:rPr>
        <w:t xml:space="preserve"> </w:t>
      </w:r>
      <w:r>
        <w:rPr>
          <w:lang w:val="en-US"/>
        </w:rPr>
        <w:t>(</w:t>
      </w:r>
      <w:r w:rsidRPr="00BA6255">
        <w:rPr>
          <w:lang w:val="en-US"/>
        </w:rPr>
        <w:t>Chief executives are typically chosen in or through competitive elections</w:t>
      </w:r>
    </w:p>
    <w:p w:rsidR="0059452D" w:rsidRDefault="00BA6255" w:rsidP="00BA6255">
      <w:pPr>
        <w:jc w:val="both"/>
        <w:rPr>
          <w:lang w:val="en-US"/>
        </w:rPr>
      </w:pPr>
      <w:r w:rsidRPr="00BA6255">
        <w:rPr>
          <w:lang w:val="en-US"/>
        </w:rPr>
        <w:t>matching two or more major parties or candidates.</w:t>
      </w:r>
      <w:r>
        <w:rPr>
          <w:lang w:val="en-US"/>
        </w:rPr>
        <w:t>)</w:t>
      </w:r>
      <w:bookmarkStart w:id="0" w:name="_GoBack"/>
      <w:bookmarkEnd w:id="0"/>
    </w:p>
    <w:p w:rsidR="008D7E0B" w:rsidRPr="00E42E4F" w:rsidRDefault="004606F1" w:rsidP="0059452D">
      <w:pPr>
        <w:jc w:val="both"/>
        <w:rPr>
          <w:lang w:val="en-US"/>
        </w:rPr>
      </w:pPr>
      <w:r>
        <w:rPr>
          <w:lang w:val="en-US"/>
        </w:rPr>
        <w:t>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>democracy, politics, institutions, polityIV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polityIV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>expert judgement.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r w:rsidR="00B513ED">
        <w:rPr>
          <w:lang w:val="en-US"/>
        </w:rPr>
        <w:t>n.a.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r w:rsidRPr="00513166">
        <w:rPr>
          <w:lang w:val="en-US"/>
        </w:rPr>
        <w:t>n.a.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BA6255" w:rsidP="00B64C5E">
      <w:pPr>
        <w:ind w:left="709" w:hanging="709"/>
        <w:rPr>
          <w:lang w:val="en-US"/>
        </w:rPr>
      </w:pPr>
      <w:hyperlink r:id="rId5" w:history="1">
        <w:r w:rsidR="003B61A2"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>or visit the polity</w:t>
      </w:r>
      <w:r w:rsidR="00E20170">
        <w:rPr>
          <w:lang w:val="en-US"/>
        </w:rPr>
        <w:t>IV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hyperlink r:id="rId7" w:history="1">
        <w:r w:rsidR="003B61A2" w:rsidRPr="00AC5221">
          <w:rPr>
            <w:rStyle w:val="Hiperhivatkozs"/>
            <w:lang w:val="en-US"/>
          </w:rPr>
          <w:t>http://www.systemicpeace.org/inscr/inscr.htm</w:t>
        </w:r>
      </w:hyperlink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606F1"/>
    <w:rsid w:val="0049543E"/>
    <w:rsid w:val="004C280F"/>
    <w:rsid w:val="004E371B"/>
    <w:rsid w:val="00513166"/>
    <w:rsid w:val="0059452D"/>
    <w:rsid w:val="005C522B"/>
    <w:rsid w:val="005D7DE0"/>
    <w:rsid w:val="006968CF"/>
    <w:rsid w:val="006C268B"/>
    <w:rsid w:val="006E66B0"/>
    <w:rsid w:val="00752376"/>
    <w:rsid w:val="00766706"/>
    <w:rsid w:val="00780B6A"/>
    <w:rsid w:val="007A56C1"/>
    <w:rsid w:val="007B7E08"/>
    <w:rsid w:val="00804DEB"/>
    <w:rsid w:val="008274E7"/>
    <w:rsid w:val="008A4DC9"/>
    <w:rsid w:val="008C2A88"/>
    <w:rsid w:val="008D7E0B"/>
    <w:rsid w:val="008E03EE"/>
    <w:rsid w:val="00947625"/>
    <w:rsid w:val="00953388"/>
    <w:rsid w:val="00A01AB8"/>
    <w:rsid w:val="00A6132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6255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324B7"/>
    <w:rsid w:val="00F42E54"/>
    <w:rsid w:val="00F445ED"/>
    <w:rsid w:val="00F67997"/>
    <w:rsid w:val="00F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temicpeace.org/inscr/insc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2014-04-14T09:29:00Z</dcterms:created>
  <dcterms:modified xsi:type="dcterms:W3CDTF">2014-04-14T09:32:00Z</dcterms:modified>
</cp:coreProperties>
</file>