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8D7E0B" w:rsidRDefault="00073BA9">
      <w:pPr>
        <w:rPr>
          <w:b/>
          <w:sz w:val="28"/>
          <w:szCs w:val="28"/>
          <w:lang w:val="en-US"/>
        </w:rPr>
      </w:pPr>
      <w:r w:rsidRPr="008D7E0B">
        <w:rPr>
          <w:b/>
          <w:sz w:val="28"/>
          <w:szCs w:val="28"/>
          <w:lang w:val="en-US"/>
        </w:rPr>
        <w:t>Working Paper CLIO-INFRA</w:t>
      </w:r>
      <w:r w:rsidR="00804DEB">
        <w:rPr>
          <w:b/>
          <w:sz w:val="28"/>
          <w:szCs w:val="28"/>
          <w:lang w:val="en-US"/>
        </w:rPr>
        <w:t>: Average Years of Education</w:t>
      </w:r>
    </w:p>
    <w:p w:rsidR="0022249F" w:rsidRPr="00E42E4F" w:rsidRDefault="0022249F" w:rsidP="0022249F">
      <w:pPr>
        <w:rPr>
          <w:lang w:val="en-US"/>
        </w:rPr>
      </w:pPr>
      <w:r w:rsidRPr="00E42E4F">
        <w:rPr>
          <w:lang w:val="en-US"/>
        </w:rPr>
        <w:t>1. Title</w:t>
      </w:r>
    </w:p>
    <w:p w:rsidR="00E42E4F" w:rsidRDefault="00E42E4F" w:rsidP="0022249F">
      <w:pPr>
        <w:rPr>
          <w:lang w:val="en-US"/>
        </w:rPr>
      </w:pPr>
      <w:r>
        <w:rPr>
          <w:lang w:val="en-US"/>
        </w:rPr>
        <w:tab/>
        <w:t xml:space="preserve">- </w:t>
      </w:r>
      <w:r w:rsidR="00804DEB">
        <w:rPr>
          <w:lang w:val="en-US"/>
        </w:rPr>
        <w:t>Average years of education</w:t>
      </w:r>
      <w:r w:rsidR="004C280F">
        <w:rPr>
          <w:lang w:val="en-US"/>
        </w:rPr>
        <w:t xml:space="preserve"> (Average, total Population</w:t>
      </w:r>
      <w:r w:rsidR="00804DEB">
        <w:rPr>
          <w:lang w:val="en-US"/>
        </w:rPr>
        <w:t xml:space="preserve"> 15 years and older</w:t>
      </w:r>
      <w:r w:rsidR="004C280F">
        <w:rPr>
          <w:lang w:val="en-US"/>
        </w:rPr>
        <w:t>)</w:t>
      </w:r>
      <w:r w:rsidR="00AA754B">
        <w:rPr>
          <w:lang w:val="en-US"/>
        </w:rPr>
        <w:t>, 1</w:t>
      </w:r>
      <w:r w:rsidR="00804DEB">
        <w:rPr>
          <w:lang w:val="en-US"/>
        </w:rPr>
        <w:t>8</w:t>
      </w:r>
      <w:r w:rsidR="000C23CC">
        <w:rPr>
          <w:lang w:val="en-US"/>
        </w:rPr>
        <w:t>5</w:t>
      </w:r>
      <w:r w:rsidR="00804DEB">
        <w:rPr>
          <w:lang w:val="en-US"/>
        </w:rPr>
        <w:t>0-201</w:t>
      </w:r>
      <w:r w:rsidR="00AA754B">
        <w:rPr>
          <w:lang w:val="en-US"/>
        </w:rPr>
        <w:t>0</w:t>
      </w:r>
      <w:r>
        <w:rPr>
          <w:lang w:val="en-US"/>
        </w:rPr>
        <w:t>.</w:t>
      </w:r>
    </w:p>
    <w:p w:rsidR="0022249F" w:rsidRPr="00471780" w:rsidRDefault="0022249F" w:rsidP="0022249F">
      <w:r w:rsidRPr="00471780">
        <w:t>2. Author</w:t>
      </w:r>
      <w:r w:rsidR="00E42E4F" w:rsidRPr="00471780">
        <w:t>(s)</w:t>
      </w:r>
    </w:p>
    <w:p w:rsidR="00DF2464" w:rsidRPr="00804DEB" w:rsidRDefault="00DF2464" w:rsidP="0018359E">
      <w:r w:rsidRPr="00471780">
        <w:tab/>
      </w:r>
      <w:r w:rsidRPr="00804DEB">
        <w:t xml:space="preserve">- </w:t>
      </w:r>
      <w:r w:rsidR="00804DEB" w:rsidRPr="00804DEB">
        <w:t xml:space="preserve">Bas van Leeuwen, Jieli </w:t>
      </w:r>
      <w:r w:rsidR="00804DEB">
        <w:t>van Leeuwen-</w:t>
      </w:r>
      <w:r w:rsidR="00804DEB" w:rsidRPr="00804DEB">
        <w:t>Li, and Peter Foldvari</w:t>
      </w:r>
    </w:p>
    <w:p w:rsidR="0022249F" w:rsidRPr="00377205" w:rsidRDefault="00DF2464" w:rsidP="0022249F">
      <w:pPr>
        <w:rPr>
          <w:lang w:val="fr-FR"/>
        </w:rPr>
      </w:pPr>
      <w:r w:rsidRPr="00377205">
        <w:rPr>
          <w:lang w:val="fr-FR"/>
        </w:rPr>
        <w:t>3</w:t>
      </w:r>
      <w:r w:rsidR="0022249F" w:rsidRPr="00377205">
        <w:rPr>
          <w:lang w:val="fr-FR"/>
        </w:rPr>
        <w:t>. Production date</w:t>
      </w:r>
    </w:p>
    <w:p w:rsidR="00DF2464" w:rsidRPr="00377205" w:rsidRDefault="00DF2464" w:rsidP="0022249F">
      <w:pPr>
        <w:rPr>
          <w:lang w:val="fr-FR"/>
        </w:rPr>
      </w:pPr>
      <w:r w:rsidRPr="00377205">
        <w:rPr>
          <w:lang w:val="fr-FR"/>
        </w:rPr>
        <w:tab/>
        <w:t xml:space="preserve">- </w:t>
      </w:r>
      <w:r w:rsidR="00471780" w:rsidRPr="00377205">
        <w:rPr>
          <w:lang w:val="fr-FR"/>
        </w:rPr>
        <w:t>15-3-2013</w:t>
      </w:r>
    </w:p>
    <w:p w:rsidR="0022249F" w:rsidRPr="00377205" w:rsidRDefault="008D7E0B" w:rsidP="0022249F">
      <w:pPr>
        <w:rPr>
          <w:lang w:val="fr-FR"/>
        </w:rPr>
      </w:pPr>
      <w:r w:rsidRPr="00377205">
        <w:rPr>
          <w:lang w:val="fr-FR"/>
        </w:rPr>
        <w:t>4</w:t>
      </w:r>
      <w:r w:rsidR="0022249F" w:rsidRPr="00377205">
        <w:rPr>
          <w:lang w:val="fr-FR"/>
        </w:rPr>
        <w:t>. Version</w:t>
      </w:r>
    </w:p>
    <w:p w:rsidR="008D7E0B" w:rsidRPr="00377205" w:rsidRDefault="008D7E0B" w:rsidP="0022249F">
      <w:pPr>
        <w:rPr>
          <w:lang w:val="fr-FR"/>
        </w:rPr>
      </w:pPr>
      <w:r w:rsidRPr="00377205">
        <w:rPr>
          <w:lang w:val="fr-FR"/>
        </w:rPr>
        <w:tab/>
        <w:t xml:space="preserve">- </w:t>
      </w:r>
      <w:r w:rsidR="00471780" w:rsidRPr="00377205">
        <w:rPr>
          <w:lang w:val="fr-FR"/>
        </w:rPr>
        <w:t>2nd</w:t>
      </w:r>
      <w:r w:rsidR="002C765E" w:rsidRPr="00377205">
        <w:rPr>
          <w:lang w:val="fr-FR"/>
        </w:rPr>
        <w:t xml:space="preserve"> version</w:t>
      </w:r>
      <w:r w:rsidRPr="00377205">
        <w:rPr>
          <w:lang w:val="fr-FR"/>
        </w:rPr>
        <w:t>.</w:t>
      </w:r>
    </w:p>
    <w:p w:rsidR="0022249F" w:rsidRPr="00E42E4F" w:rsidRDefault="008D7E0B" w:rsidP="0022249F">
      <w:pPr>
        <w:rPr>
          <w:lang w:val="en-US"/>
        </w:rPr>
      </w:pPr>
      <w:r>
        <w:rPr>
          <w:lang w:val="en-US"/>
        </w:rPr>
        <w:t>5</w:t>
      </w:r>
      <w:r w:rsidR="0022249F" w:rsidRPr="00E42E4F">
        <w:rPr>
          <w:lang w:val="en-US"/>
        </w:rPr>
        <w:t>. Variable group</w:t>
      </w:r>
      <w:r>
        <w:rPr>
          <w:lang w:val="en-US"/>
        </w:rPr>
        <w:t>(s)</w:t>
      </w:r>
    </w:p>
    <w:p w:rsidR="008D7E0B" w:rsidRDefault="008D7E0B" w:rsidP="0022249F">
      <w:pPr>
        <w:rPr>
          <w:lang w:val="en-US"/>
        </w:rPr>
      </w:pPr>
      <w:r>
        <w:rPr>
          <w:lang w:val="en-US"/>
        </w:rPr>
        <w:tab/>
        <w:t xml:space="preserve">- </w:t>
      </w:r>
      <w:r w:rsidR="00804DEB">
        <w:rPr>
          <w:lang w:val="en-US"/>
        </w:rPr>
        <w:t>Human capital.</w:t>
      </w:r>
    </w:p>
    <w:p w:rsidR="0022249F" w:rsidRDefault="008D7E0B" w:rsidP="0022249F">
      <w:pPr>
        <w:rPr>
          <w:lang w:val="en-US"/>
        </w:rPr>
      </w:pPr>
      <w:r>
        <w:rPr>
          <w:lang w:val="en-US"/>
        </w:rPr>
        <w:t>6</w:t>
      </w:r>
      <w:r w:rsidR="0022249F" w:rsidRPr="00E42E4F">
        <w:rPr>
          <w:lang w:val="en-US"/>
        </w:rPr>
        <w:t>. Variable</w:t>
      </w:r>
      <w:r>
        <w:rPr>
          <w:lang w:val="en-US"/>
        </w:rPr>
        <w:t>(s)</w:t>
      </w:r>
    </w:p>
    <w:p w:rsidR="00804DEB" w:rsidRDefault="008D7E0B" w:rsidP="0022249F">
      <w:pPr>
        <w:rPr>
          <w:lang w:val="en-US"/>
        </w:rPr>
      </w:pPr>
      <w:r>
        <w:rPr>
          <w:lang w:val="en-US"/>
        </w:rPr>
        <w:tab/>
        <w:t>-</w:t>
      </w:r>
      <w:r w:rsidR="00804DEB">
        <w:rPr>
          <w:lang w:val="en-US"/>
        </w:rPr>
        <w:t xml:space="preserve">Average years of education </w:t>
      </w:r>
      <w:r w:rsidR="004C280F">
        <w:rPr>
          <w:lang w:val="en-US"/>
        </w:rPr>
        <w:t>per country – Average per total population</w:t>
      </w:r>
      <w:r w:rsidR="00804DEB">
        <w:rPr>
          <w:lang w:val="en-US"/>
        </w:rPr>
        <w:t xml:space="preserve"> of 15 years and </w:t>
      </w:r>
    </w:p>
    <w:p w:rsidR="008D7E0B" w:rsidRPr="00E42E4F" w:rsidRDefault="00804DEB" w:rsidP="00804DEB">
      <w:pPr>
        <w:ind w:firstLine="708"/>
        <w:rPr>
          <w:lang w:val="en-US"/>
        </w:rPr>
      </w:pPr>
      <w:r>
        <w:rPr>
          <w:lang w:val="en-US"/>
        </w:rPr>
        <w:t>older</w:t>
      </w:r>
      <w:r w:rsidR="008D7E0B">
        <w:rPr>
          <w:lang w:val="en-US"/>
        </w:rPr>
        <w:t>.</w:t>
      </w:r>
    </w:p>
    <w:p w:rsidR="0022249F" w:rsidRPr="00E42E4F" w:rsidRDefault="008D7E0B" w:rsidP="0022249F">
      <w:pPr>
        <w:rPr>
          <w:lang w:val="en-US"/>
        </w:rPr>
      </w:pPr>
      <w:r>
        <w:rPr>
          <w:lang w:val="en-US"/>
        </w:rPr>
        <w:t>7</w:t>
      </w:r>
      <w:r w:rsidR="0022249F" w:rsidRPr="00E42E4F">
        <w:rPr>
          <w:lang w:val="en-US"/>
        </w:rPr>
        <w:t>. Unit of analysis</w:t>
      </w:r>
    </w:p>
    <w:p w:rsidR="008D7E0B" w:rsidRDefault="00E3589C" w:rsidP="0018359E">
      <w:pPr>
        <w:rPr>
          <w:lang w:val="en-US"/>
        </w:rPr>
      </w:pPr>
      <w:r>
        <w:rPr>
          <w:lang w:val="en-US"/>
        </w:rPr>
        <w:tab/>
        <w:t xml:space="preserve">- </w:t>
      </w:r>
      <w:r w:rsidR="004C280F">
        <w:rPr>
          <w:lang w:val="en-US"/>
        </w:rPr>
        <w:t>number of years</w:t>
      </w:r>
      <w:r w:rsidR="00804DEB">
        <w:rPr>
          <w:lang w:val="en-US"/>
        </w:rPr>
        <w:t xml:space="preserve"> of formal education</w:t>
      </w:r>
      <w:r>
        <w:rPr>
          <w:lang w:val="en-US"/>
        </w:rPr>
        <w:t>.</w:t>
      </w:r>
    </w:p>
    <w:p w:rsidR="0022249F" w:rsidRDefault="00E3589C" w:rsidP="0022249F">
      <w:pPr>
        <w:rPr>
          <w:lang w:val="en-US"/>
        </w:rPr>
      </w:pPr>
      <w:r>
        <w:rPr>
          <w:lang w:val="en-US"/>
        </w:rPr>
        <w:t>8</w:t>
      </w:r>
      <w:r w:rsidR="0022249F" w:rsidRPr="00E42E4F">
        <w:rPr>
          <w:lang w:val="en-US"/>
        </w:rPr>
        <w:t>. Keywords (5)</w:t>
      </w:r>
    </w:p>
    <w:p w:rsidR="00E3589C" w:rsidRPr="00E42E4F" w:rsidRDefault="00E3589C" w:rsidP="0022249F">
      <w:pPr>
        <w:rPr>
          <w:lang w:val="en-US"/>
        </w:rPr>
      </w:pPr>
      <w:r>
        <w:rPr>
          <w:lang w:val="en-US"/>
        </w:rPr>
        <w:tab/>
        <w:t xml:space="preserve">- </w:t>
      </w:r>
      <w:r w:rsidR="00804DEB">
        <w:rPr>
          <w:lang w:val="en-US"/>
        </w:rPr>
        <w:t>human capital, education, world.</w:t>
      </w:r>
    </w:p>
    <w:p w:rsidR="00E3589C" w:rsidRDefault="00E3589C" w:rsidP="0022249F">
      <w:pPr>
        <w:rPr>
          <w:lang w:val="en-US"/>
        </w:rPr>
      </w:pPr>
      <w:r>
        <w:rPr>
          <w:lang w:val="en-US"/>
        </w:rPr>
        <w:t>9</w:t>
      </w:r>
      <w:r w:rsidR="0022249F" w:rsidRPr="00E42E4F">
        <w:rPr>
          <w:lang w:val="en-US"/>
        </w:rPr>
        <w:t>. Abstract (200 words)</w:t>
      </w:r>
    </w:p>
    <w:p w:rsidR="00E3589C" w:rsidRDefault="00E3589C" w:rsidP="00D90C18">
      <w:pPr>
        <w:ind w:left="705"/>
        <w:rPr>
          <w:lang w:val="en-US"/>
        </w:rPr>
      </w:pPr>
      <w:r>
        <w:rPr>
          <w:lang w:val="en-US"/>
        </w:rPr>
        <w:t xml:space="preserve">- </w:t>
      </w:r>
      <w:r w:rsidR="00D90C18">
        <w:rPr>
          <w:lang w:val="en-US"/>
        </w:rPr>
        <w:t>The</w:t>
      </w:r>
      <w:r w:rsidR="00752376">
        <w:rPr>
          <w:lang w:val="en-US"/>
        </w:rPr>
        <w:t xml:space="preserve"> Average</w:t>
      </w:r>
      <w:r w:rsidR="00804DEB">
        <w:rPr>
          <w:lang w:val="en-US"/>
        </w:rPr>
        <w:t xml:space="preserve"> years of education in the total population aged 15 years and older</w:t>
      </w:r>
      <w:r w:rsidR="00D90C18">
        <w:rPr>
          <w:lang w:val="en-US"/>
        </w:rPr>
        <w:t xml:space="preserve"> </w:t>
      </w:r>
      <w:r w:rsidR="00377205">
        <w:rPr>
          <w:lang w:val="en-US"/>
        </w:rPr>
        <w:t xml:space="preserve">is given </w:t>
      </w:r>
      <w:r w:rsidR="00804DEB">
        <w:rPr>
          <w:lang w:val="en-US"/>
        </w:rPr>
        <w:t xml:space="preserve">for the period </w:t>
      </w:r>
      <w:r w:rsidR="00377205">
        <w:rPr>
          <w:lang w:val="en-US"/>
        </w:rPr>
        <w:t>1870</w:t>
      </w:r>
      <w:bookmarkStart w:id="0" w:name="_GoBack"/>
      <w:bookmarkEnd w:id="0"/>
      <w:r w:rsidR="00804DEB">
        <w:rPr>
          <w:lang w:val="en-US"/>
        </w:rPr>
        <w:t xml:space="preserve">-2010. </w:t>
      </w:r>
    </w:p>
    <w:p w:rsidR="0022249F" w:rsidRPr="00E42E4F" w:rsidRDefault="0022249F" w:rsidP="0022249F">
      <w:pPr>
        <w:rPr>
          <w:lang w:val="en-US"/>
        </w:rPr>
      </w:pPr>
      <w:r w:rsidRPr="00E42E4F">
        <w:rPr>
          <w:lang w:val="en-US"/>
        </w:rPr>
        <w:t>1</w:t>
      </w:r>
      <w:r w:rsidR="00C16C16">
        <w:rPr>
          <w:lang w:val="en-US"/>
        </w:rPr>
        <w:t>0</w:t>
      </w:r>
      <w:r w:rsidRPr="00E42E4F">
        <w:rPr>
          <w:lang w:val="en-US"/>
        </w:rPr>
        <w:t>. Time period</w:t>
      </w:r>
    </w:p>
    <w:p w:rsidR="00C16C16" w:rsidRDefault="00C16C16" w:rsidP="0022249F">
      <w:pPr>
        <w:rPr>
          <w:lang w:val="en-US"/>
        </w:rPr>
      </w:pPr>
      <w:r>
        <w:rPr>
          <w:lang w:val="en-US"/>
        </w:rPr>
        <w:tab/>
        <w:t xml:space="preserve">- </w:t>
      </w:r>
      <w:r w:rsidR="004C280F">
        <w:rPr>
          <w:lang w:val="en-US"/>
        </w:rPr>
        <w:t>1</w:t>
      </w:r>
      <w:r w:rsidR="00804DEB">
        <w:rPr>
          <w:lang w:val="en-US"/>
        </w:rPr>
        <w:t>8</w:t>
      </w:r>
      <w:r w:rsidR="004C280F">
        <w:rPr>
          <w:lang w:val="en-US"/>
        </w:rPr>
        <w:t>50</w:t>
      </w:r>
      <w:r w:rsidR="0018359E">
        <w:rPr>
          <w:lang w:val="en-US"/>
        </w:rPr>
        <w:t>-2000</w:t>
      </w:r>
      <w:r>
        <w:rPr>
          <w:lang w:val="en-US"/>
        </w:rPr>
        <w:t>.</w:t>
      </w:r>
    </w:p>
    <w:p w:rsidR="0022249F" w:rsidRPr="00E42E4F" w:rsidRDefault="0022249F" w:rsidP="0022249F">
      <w:pPr>
        <w:rPr>
          <w:lang w:val="en-US"/>
        </w:rPr>
      </w:pPr>
      <w:r w:rsidRPr="00E42E4F">
        <w:rPr>
          <w:lang w:val="en-US"/>
        </w:rPr>
        <w:t>1</w:t>
      </w:r>
      <w:r w:rsidR="00C16C16">
        <w:rPr>
          <w:lang w:val="en-US"/>
        </w:rPr>
        <w:t>1</w:t>
      </w:r>
      <w:r w:rsidRPr="00E42E4F">
        <w:rPr>
          <w:lang w:val="en-US"/>
        </w:rPr>
        <w:t>. Geographical coverage</w:t>
      </w:r>
    </w:p>
    <w:p w:rsidR="003132A6" w:rsidRDefault="003132A6" w:rsidP="00BA2BA6">
      <w:pPr>
        <w:rPr>
          <w:lang w:val="en-US"/>
        </w:rPr>
      </w:pPr>
      <w:r>
        <w:rPr>
          <w:lang w:val="en-US"/>
        </w:rPr>
        <w:tab/>
        <w:t xml:space="preserve">- </w:t>
      </w:r>
      <w:r w:rsidR="0018359E">
        <w:rPr>
          <w:lang w:val="en-US"/>
        </w:rPr>
        <w:t>Entire World</w:t>
      </w:r>
      <w:r>
        <w:rPr>
          <w:lang w:val="en-US"/>
        </w:rPr>
        <w:t>.</w:t>
      </w:r>
    </w:p>
    <w:p w:rsidR="00BA2BA6" w:rsidRPr="00E42E4F" w:rsidRDefault="00BA2BA6" w:rsidP="00BA2BA6">
      <w:pPr>
        <w:rPr>
          <w:lang w:val="en-US"/>
        </w:rPr>
      </w:pPr>
      <w:r w:rsidRPr="00E42E4F">
        <w:rPr>
          <w:lang w:val="en-US"/>
        </w:rPr>
        <w:t>1</w:t>
      </w:r>
      <w:r w:rsidR="003132A6">
        <w:rPr>
          <w:lang w:val="en-US"/>
        </w:rPr>
        <w:t>2</w:t>
      </w:r>
      <w:r w:rsidRPr="00E42E4F">
        <w:rPr>
          <w:lang w:val="en-US"/>
        </w:rPr>
        <w:t>. Methodologies used for data collection and processing</w:t>
      </w:r>
    </w:p>
    <w:p w:rsidR="00F42E54" w:rsidRDefault="003132A6" w:rsidP="00F42E54">
      <w:pPr>
        <w:ind w:left="705"/>
        <w:rPr>
          <w:lang w:val="en-US"/>
        </w:rPr>
      </w:pPr>
      <w:r>
        <w:rPr>
          <w:lang w:val="en-US"/>
        </w:rPr>
        <w:t xml:space="preserve">- </w:t>
      </w:r>
      <w:r w:rsidR="0018359E">
        <w:rPr>
          <w:lang w:val="en-US"/>
        </w:rPr>
        <w:t>Bibliographical</w:t>
      </w:r>
      <w:r w:rsidR="00B17D7A">
        <w:rPr>
          <w:lang w:val="en-US"/>
        </w:rPr>
        <w:t xml:space="preserve"> research</w:t>
      </w:r>
      <w:r w:rsidR="00F42E54">
        <w:rPr>
          <w:lang w:val="en-US"/>
        </w:rPr>
        <w:t xml:space="preserve">, research of published and Online </w:t>
      </w:r>
      <w:r w:rsidR="0018359E">
        <w:rPr>
          <w:lang w:val="en-US"/>
        </w:rPr>
        <w:t>Databases</w:t>
      </w:r>
      <w:r w:rsidR="00F42E54">
        <w:rPr>
          <w:lang w:val="en-US"/>
        </w:rPr>
        <w:t>, and cross-analysis of various datasets</w:t>
      </w:r>
    </w:p>
    <w:p w:rsidR="0022249F" w:rsidRPr="00E42E4F" w:rsidRDefault="003132A6" w:rsidP="0022249F">
      <w:pPr>
        <w:rPr>
          <w:lang w:val="en-US"/>
        </w:rPr>
      </w:pPr>
      <w:r>
        <w:rPr>
          <w:lang w:val="en-US"/>
        </w:rPr>
        <w:t>13</w:t>
      </w:r>
      <w:r w:rsidR="0022249F" w:rsidRPr="00E42E4F">
        <w:rPr>
          <w:lang w:val="en-US"/>
        </w:rPr>
        <w:t>. Data quality</w:t>
      </w:r>
    </w:p>
    <w:p w:rsidR="0022249F" w:rsidRPr="00E42E4F" w:rsidRDefault="003132A6" w:rsidP="0022249F">
      <w:pPr>
        <w:rPr>
          <w:lang w:val="en-US"/>
        </w:rPr>
      </w:pPr>
      <w:r>
        <w:rPr>
          <w:lang w:val="en-US"/>
        </w:rPr>
        <w:tab/>
      </w:r>
      <w:r w:rsidR="0022249F" w:rsidRPr="00E42E4F">
        <w:rPr>
          <w:lang w:val="en-US"/>
        </w:rPr>
        <w:tab/>
      </w:r>
      <w:r w:rsidR="00F42E54">
        <w:rPr>
          <w:lang w:val="en-US"/>
        </w:rPr>
        <w:t>i. Central statistical agencies</w:t>
      </w:r>
    </w:p>
    <w:p w:rsidR="0022249F" w:rsidRPr="00E42E4F" w:rsidRDefault="003132A6" w:rsidP="00B17D7A">
      <w:pPr>
        <w:rPr>
          <w:lang w:val="en-US"/>
        </w:rPr>
      </w:pPr>
      <w:r>
        <w:rPr>
          <w:lang w:val="en-US"/>
        </w:rPr>
        <w:tab/>
      </w:r>
      <w:r w:rsidR="00F42E54">
        <w:rPr>
          <w:lang w:val="en-US"/>
        </w:rPr>
        <w:tab/>
        <w:t>ii. Historical reconstructions</w:t>
      </w:r>
    </w:p>
    <w:p w:rsidR="0022249F" w:rsidRPr="00E42E4F" w:rsidRDefault="003132A6" w:rsidP="0022249F">
      <w:pPr>
        <w:rPr>
          <w:lang w:val="en-US"/>
        </w:rPr>
      </w:pPr>
      <w:r>
        <w:rPr>
          <w:lang w:val="en-US"/>
        </w:rPr>
        <w:tab/>
      </w:r>
      <w:r w:rsidR="00F42E54">
        <w:rPr>
          <w:lang w:val="en-US"/>
        </w:rPr>
        <w:tab/>
        <w:t>iii. Estimates</w:t>
      </w:r>
    </w:p>
    <w:p w:rsidR="0022249F" w:rsidRDefault="003132A6" w:rsidP="0022249F">
      <w:pPr>
        <w:rPr>
          <w:lang w:val="en-US"/>
        </w:rPr>
      </w:pPr>
      <w:r>
        <w:rPr>
          <w:lang w:val="en-US"/>
        </w:rPr>
        <w:tab/>
      </w:r>
      <w:r w:rsidR="0022249F" w:rsidRPr="00E42E4F">
        <w:rPr>
          <w:lang w:val="en-US"/>
        </w:rPr>
        <w:tab/>
        <w:t>iv. Conjectures</w:t>
      </w:r>
    </w:p>
    <w:p w:rsidR="00C809B2" w:rsidRDefault="00C809B2" w:rsidP="0022249F">
      <w:pPr>
        <w:rPr>
          <w:lang w:val="en-US"/>
        </w:rPr>
      </w:pPr>
      <w:r>
        <w:rPr>
          <w:lang w:val="en-US"/>
        </w:rPr>
        <w:t xml:space="preserve">Virtually all benchmark data after 1960 (i.e. 1960, 1970, 1980, 1990, 2000, and 2010) are derived indirectly from Central Statistical Agencies and therefore probably better classify as historical reconstructions. The remaining data are estimates. </w:t>
      </w:r>
    </w:p>
    <w:p w:rsidR="00C809B2" w:rsidRPr="00E42E4F" w:rsidRDefault="00C809B2" w:rsidP="0022249F">
      <w:pPr>
        <w:rPr>
          <w:lang w:val="en-US"/>
        </w:rPr>
      </w:pPr>
    </w:p>
    <w:p w:rsidR="0022249F" w:rsidRPr="00E42E4F" w:rsidRDefault="003132A6" w:rsidP="0022249F">
      <w:pPr>
        <w:rPr>
          <w:lang w:val="en-US"/>
        </w:rPr>
      </w:pPr>
      <w:r>
        <w:rPr>
          <w:lang w:val="en-US"/>
        </w:rPr>
        <w:t>14</w:t>
      </w:r>
      <w:r w:rsidR="008274E7">
        <w:rPr>
          <w:lang w:val="en-US"/>
        </w:rPr>
        <w:t>.</w:t>
      </w:r>
      <w:r w:rsidR="0022249F" w:rsidRPr="00E42E4F">
        <w:rPr>
          <w:lang w:val="en-US"/>
        </w:rPr>
        <w:t xml:space="preserve"> </w:t>
      </w:r>
      <w:r w:rsidR="008274E7">
        <w:rPr>
          <w:lang w:val="en-US"/>
        </w:rPr>
        <w:t xml:space="preserve">Period </w:t>
      </w:r>
      <w:r w:rsidR="0022249F" w:rsidRPr="00E42E4F">
        <w:rPr>
          <w:lang w:val="en-US"/>
        </w:rPr>
        <w:t>of collection</w:t>
      </w:r>
    </w:p>
    <w:p w:rsidR="003132A6" w:rsidRDefault="003132A6" w:rsidP="0022249F">
      <w:pPr>
        <w:rPr>
          <w:lang w:val="en-US"/>
        </w:rPr>
      </w:pPr>
      <w:r>
        <w:rPr>
          <w:lang w:val="en-US"/>
        </w:rPr>
        <w:tab/>
        <w:t xml:space="preserve">- </w:t>
      </w:r>
      <w:r w:rsidR="0018359E">
        <w:rPr>
          <w:lang w:val="en-US"/>
        </w:rPr>
        <w:t>October/201</w:t>
      </w:r>
      <w:r w:rsidR="00804DEB">
        <w:rPr>
          <w:lang w:val="en-US"/>
        </w:rPr>
        <w:t>0</w:t>
      </w:r>
      <w:r w:rsidR="0018359E">
        <w:rPr>
          <w:lang w:val="en-US"/>
        </w:rPr>
        <w:t xml:space="preserve"> and </w:t>
      </w:r>
      <w:r w:rsidR="004C280F">
        <w:rPr>
          <w:lang w:val="en-US"/>
        </w:rPr>
        <w:t>July</w:t>
      </w:r>
      <w:r w:rsidR="0018359E">
        <w:rPr>
          <w:lang w:val="en-US"/>
        </w:rPr>
        <w:t>/2012</w:t>
      </w:r>
      <w:r>
        <w:rPr>
          <w:lang w:val="en-US"/>
        </w:rPr>
        <w:t>.</w:t>
      </w:r>
    </w:p>
    <w:p w:rsidR="0022249F" w:rsidRPr="00471780" w:rsidRDefault="003132A6" w:rsidP="0022249F">
      <w:r w:rsidRPr="00471780">
        <w:t>15</w:t>
      </w:r>
      <w:r w:rsidR="0022249F" w:rsidRPr="00471780">
        <w:t>. Data collectors</w:t>
      </w:r>
    </w:p>
    <w:p w:rsidR="003132A6" w:rsidRPr="00804DEB" w:rsidRDefault="003132A6" w:rsidP="0018359E">
      <w:r w:rsidRPr="00471780">
        <w:tab/>
      </w:r>
      <w:r w:rsidRPr="00804DEB">
        <w:t xml:space="preserve">- </w:t>
      </w:r>
      <w:r w:rsidR="00804DEB" w:rsidRPr="00804DEB">
        <w:t>Bas van Leeuwen and Jieli van Leeuwen-Li</w:t>
      </w:r>
      <w:r w:rsidRPr="00804DEB">
        <w:t>.</w:t>
      </w:r>
    </w:p>
    <w:p w:rsidR="0022249F" w:rsidRDefault="00BA2BA6" w:rsidP="003132A6">
      <w:pPr>
        <w:rPr>
          <w:lang w:val="en-US"/>
        </w:rPr>
      </w:pPr>
      <w:r w:rsidRPr="00E42E4F">
        <w:rPr>
          <w:lang w:val="en-US"/>
        </w:rPr>
        <w:t>1</w:t>
      </w:r>
      <w:r w:rsidR="003132A6">
        <w:rPr>
          <w:lang w:val="en-US"/>
        </w:rPr>
        <w:t>6</w:t>
      </w:r>
      <w:r w:rsidR="0022249F" w:rsidRPr="00E42E4F">
        <w:rPr>
          <w:lang w:val="en-US"/>
        </w:rPr>
        <w:t>. Sources</w:t>
      </w:r>
    </w:p>
    <w:p w:rsidR="002C2F4C" w:rsidRPr="005905AA" w:rsidRDefault="002C2F4C" w:rsidP="002C2F4C">
      <w:pPr>
        <w:rPr>
          <w:rFonts w:ascii="Times New Roman" w:eastAsia="Times New Roman" w:hAnsi="Times New Roman" w:cs="Times New Roman"/>
          <w:lang w:val="en-GB" w:eastAsia="zh-CN"/>
        </w:rPr>
      </w:pPr>
      <w:r>
        <w:rPr>
          <w:lang w:val="en-US"/>
        </w:rPr>
        <w:t xml:space="preserve">The data were derived by combining two main datasets. First, </w:t>
      </w:r>
      <w:r>
        <w:rPr>
          <w:rFonts w:ascii="Times New Roman" w:eastAsia="Times New Roman" w:hAnsi="Times New Roman" w:cs="Times New Roman"/>
          <w:lang w:val="en-GB" w:eastAsia="zh-CN"/>
        </w:rPr>
        <w:t>Morrisson and Murtin (2009) supply information of</w:t>
      </w:r>
      <w:r w:rsidRPr="005905AA">
        <w:rPr>
          <w:rFonts w:ascii="Times New Roman" w:eastAsia="Times New Roman" w:hAnsi="Times New Roman" w:cs="Times New Roman"/>
          <w:lang w:val="en-GB" w:eastAsia="zh-CN"/>
        </w:rPr>
        <w:t xml:space="preserve"> around 78 countries for 10-year intervals. </w:t>
      </w:r>
      <w:r>
        <w:rPr>
          <w:rFonts w:ascii="Times New Roman" w:eastAsia="Times New Roman" w:hAnsi="Times New Roman" w:cs="Times New Roman"/>
          <w:lang w:val="en-GB" w:eastAsia="zh-CN"/>
        </w:rPr>
        <w:t>Second,</w:t>
      </w:r>
      <w:r w:rsidRPr="005905AA">
        <w:rPr>
          <w:rFonts w:ascii="Times New Roman" w:eastAsia="Times New Roman" w:hAnsi="Times New Roman" w:cs="Times New Roman"/>
          <w:lang w:val="en-GB" w:eastAsia="zh-CN"/>
        </w:rPr>
        <w:t>Van Leeuwen, Van Leeuwen-Li and Foldvari, has been published in a range of papers spread over the past years (</w:t>
      </w:r>
      <w:r w:rsidRPr="005905AA">
        <w:rPr>
          <w:rFonts w:ascii="Times New Roman" w:eastAsia="Times New Roman" w:hAnsi="Times New Roman" w:cs="Times New Roman"/>
          <w:i/>
          <w:lang w:val="en-GB" w:eastAsia="zh-CN"/>
        </w:rPr>
        <w:t>e.g.</w:t>
      </w:r>
      <w:r w:rsidRPr="005905AA">
        <w:rPr>
          <w:rFonts w:ascii="Times New Roman" w:eastAsia="Times New Roman" w:hAnsi="Times New Roman" w:cs="Times New Roman"/>
          <w:lang w:val="en-GB" w:eastAsia="zh-CN"/>
        </w:rPr>
        <w:t xml:space="preserve"> Van Leeuwen and Foldvari, 2008a; Foldvari </w:t>
      </w:r>
      <w:r w:rsidRPr="005905AA">
        <w:rPr>
          <w:rFonts w:ascii="Times New Roman" w:eastAsia="Times New Roman" w:hAnsi="Times New Roman" w:cs="Times New Roman"/>
          <w:i/>
          <w:lang w:val="en-GB" w:eastAsia="zh-CN"/>
        </w:rPr>
        <w:t xml:space="preserve">et al., </w:t>
      </w:r>
      <w:r w:rsidRPr="005905AA">
        <w:rPr>
          <w:rFonts w:ascii="Times New Roman" w:eastAsia="Times New Roman" w:hAnsi="Times New Roman" w:cs="Times New Roman"/>
          <w:lang w:val="en-GB" w:eastAsia="zh-CN"/>
        </w:rPr>
        <w:t xml:space="preserve">forthcoming) and has been made available in a comprehensive format by Clio-Infra in 2012. The last two datasets, from Van Leeuwen </w:t>
      </w:r>
      <w:r w:rsidRPr="005905AA">
        <w:rPr>
          <w:rFonts w:ascii="Times New Roman" w:eastAsia="Times New Roman" w:hAnsi="Times New Roman" w:cs="Times New Roman"/>
          <w:i/>
          <w:lang w:val="en-GB" w:eastAsia="zh-CN"/>
        </w:rPr>
        <w:t>et al.</w:t>
      </w:r>
      <w:r w:rsidRPr="005905AA">
        <w:rPr>
          <w:rFonts w:ascii="Times New Roman" w:eastAsia="Times New Roman" w:hAnsi="Times New Roman" w:cs="Times New Roman"/>
          <w:lang w:val="en-GB" w:eastAsia="zh-CN"/>
        </w:rPr>
        <w:t xml:space="preserve"> and Morrisson and Murtin, have been shown to be the ones with the widest coverage, the longest time span and the highest reliability (</w:t>
      </w:r>
      <w:r w:rsidRPr="005905AA">
        <w:rPr>
          <w:rFonts w:ascii="Times New Roman" w:eastAsia="Times New Roman" w:hAnsi="Times New Roman" w:cs="Times New Roman"/>
          <w:i/>
          <w:lang w:val="en-GB" w:eastAsia="zh-CN"/>
        </w:rPr>
        <w:t>e.g.</w:t>
      </w:r>
      <w:r w:rsidRPr="005905AA">
        <w:rPr>
          <w:rFonts w:ascii="Times New Roman" w:eastAsia="Times New Roman" w:hAnsi="Times New Roman" w:cs="Times New Roman"/>
          <w:lang w:val="en-GB" w:eastAsia="zh-CN"/>
        </w:rPr>
        <w:t xml:space="preserve"> Foldvari </w:t>
      </w:r>
      <w:r w:rsidRPr="005905AA">
        <w:rPr>
          <w:rFonts w:ascii="Times New Roman" w:eastAsia="Times New Roman" w:hAnsi="Times New Roman" w:cs="Times New Roman"/>
          <w:i/>
          <w:lang w:val="en-GB" w:eastAsia="zh-CN"/>
        </w:rPr>
        <w:t xml:space="preserve">et al., </w:t>
      </w:r>
      <w:r w:rsidRPr="005905AA">
        <w:rPr>
          <w:rFonts w:ascii="Times New Roman" w:eastAsia="Times New Roman" w:hAnsi="Times New Roman" w:cs="Times New Roman"/>
          <w:lang w:val="en-GB" w:eastAsia="zh-CN"/>
        </w:rPr>
        <w:t xml:space="preserve">forthcoming). The methodology for the two is also roughly comparable, making it possible to combine the two sets of estimates into a single comprehensive dataset on educational development. </w:t>
      </w:r>
    </w:p>
    <w:p w:rsidR="002C2F4C" w:rsidRPr="002C2F4C" w:rsidRDefault="002C2F4C" w:rsidP="003132A6">
      <w:pPr>
        <w:rPr>
          <w:lang w:val="en-GB"/>
        </w:rPr>
      </w:pPr>
    </w:p>
    <w:p w:rsidR="002C2F4C" w:rsidRPr="00E42E4F" w:rsidRDefault="002C2F4C" w:rsidP="003132A6">
      <w:pPr>
        <w:rPr>
          <w:lang w:val="en-US"/>
        </w:rPr>
      </w:pPr>
    </w:p>
    <w:p w:rsidR="00417558" w:rsidRDefault="00417558" w:rsidP="00B64C5E">
      <w:pPr>
        <w:ind w:left="709" w:hanging="709"/>
        <w:rPr>
          <w:lang w:val="en-US"/>
        </w:rPr>
      </w:pPr>
      <w:r>
        <w:rPr>
          <w:lang w:val="en-US"/>
        </w:rPr>
        <w:t>The main sources, with the exception of some country-specific studies,  are:</w:t>
      </w:r>
    </w:p>
    <w:p w:rsidR="00417558" w:rsidRDefault="00417558" w:rsidP="00417558">
      <w:pPr>
        <w:pStyle w:val="ListParagraph"/>
        <w:numPr>
          <w:ilvl w:val="0"/>
          <w:numId w:val="1"/>
        </w:numPr>
        <w:rPr>
          <w:lang w:val="en-US"/>
        </w:rPr>
      </w:pPr>
      <w:r>
        <w:rPr>
          <w:lang w:val="en-US"/>
        </w:rPr>
        <w:t xml:space="preserve">Mitchell, B.R. (2007), </w:t>
      </w:r>
      <w:r>
        <w:rPr>
          <w:i/>
          <w:lang w:val="en-US"/>
        </w:rPr>
        <w:t xml:space="preserve">International Historical Statistics: Africa, Asia &amp; Oceania, </w:t>
      </w:r>
      <w:r w:rsidR="005A2035">
        <w:rPr>
          <w:i/>
          <w:lang w:val="en-US"/>
        </w:rPr>
        <w:t xml:space="preserve">1750-2005, </w:t>
      </w:r>
      <w:r w:rsidR="005A2035">
        <w:rPr>
          <w:lang w:val="en-US"/>
        </w:rPr>
        <w:t>Basingstroke [etc.]: Palgrave Macmillan (5</w:t>
      </w:r>
      <w:r w:rsidR="005A2035" w:rsidRPr="005A2035">
        <w:rPr>
          <w:vertAlign w:val="superscript"/>
          <w:lang w:val="en-US"/>
        </w:rPr>
        <w:t>th</w:t>
      </w:r>
      <w:r w:rsidR="005A2035">
        <w:rPr>
          <w:lang w:val="en-US"/>
        </w:rPr>
        <w:t xml:space="preserve"> edition). </w:t>
      </w:r>
    </w:p>
    <w:p w:rsidR="0092787E" w:rsidRDefault="00417558" w:rsidP="0092787E">
      <w:pPr>
        <w:pStyle w:val="ListParagraph"/>
        <w:numPr>
          <w:ilvl w:val="0"/>
          <w:numId w:val="1"/>
        </w:numPr>
        <w:rPr>
          <w:lang w:val="en-US"/>
        </w:rPr>
      </w:pPr>
      <w:r>
        <w:rPr>
          <w:lang w:val="en-US"/>
        </w:rPr>
        <w:t>Mitchell</w:t>
      </w:r>
      <w:r w:rsidR="0092787E">
        <w:rPr>
          <w:lang w:val="en-US"/>
        </w:rPr>
        <w:t xml:space="preserve">, B.R. (2007), </w:t>
      </w:r>
      <w:r w:rsidR="0092787E">
        <w:rPr>
          <w:i/>
          <w:lang w:val="en-US"/>
        </w:rPr>
        <w:t xml:space="preserve">International Historical Statistics: The Americas, 1750-2005, </w:t>
      </w:r>
      <w:r w:rsidR="0092787E">
        <w:rPr>
          <w:lang w:val="en-US"/>
        </w:rPr>
        <w:t>Basingstroke [etc.]: Palgrave Macmillan (5</w:t>
      </w:r>
      <w:r w:rsidR="0092787E" w:rsidRPr="005A2035">
        <w:rPr>
          <w:vertAlign w:val="superscript"/>
          <w:lang w:val="en-US"/>
        </w:rPr>
        <w:t>th</w:t>
      </w:r>
      <w:r w:rsidR="0092787E">
        <w:rPr>
          <w:lang w:val="en-US"/>
        </w:rPr>
        <w:t xml:space="preserve"> edition). </w:t>
      </w:r>
    </w:p>
    <w:p w:rsidR="0092787E" w:rsidRPr="002C2F4C" w:rsidRDefault="0092787E" w:rsidP="0092787E">
      <w:pPr>
        <w:pStyle w:val="ListParagraph"/>
        <w:numPr>
          <w:ilvl w:val="0"/>
          <w:numId w:val="1"/>
        </w:numPr>
        <w:rPr>
          <w:lang w:val="en-US"/>
        </w:rPr>
      </w:pPr>
      <w:r w:rsidRPr="002C2F4C">
        <w:rPr>
          <w:lang w:val="en-US"/>
        </w:rPr>
        <w:t xml:space="preserve">Mitchell, B.R. (2007), </w:t>
      </w:r>
      <w:r w:rsidRPr="002C2F4C">
        <w:rPr>
          <w:i/>
          <w:lang w:val="en-US"/>
        </w:rPr>
        <w:t xml:space="preserve">International Historical Statistics: Europe, 1750-2005, </w:t>
      </w:r>
      <w:r w:rsidRPr="002C2F4C">
        <w:rPr>
          <w:lang w:val="en-US"/>
        </w:rPr>
        <w:t>Basingstroke [etc.]: Palgrave Macmillan (5</w:t>
      </w:r>
      <w:r w:rsidRPr="002C2F4C">
        <w:rPr>
          <w:vertAlign w:val="superscript"/>
          <w:lang w:val="en-US"/>
        </w:rPr>
        <w:t>th</w:t>
      </w:r>
      <w:r w:rsidRPr="002C2F4C">
        <w:rPr>
          <w:lang w:val="en-US"/>
        </w:rPr>
        <w:t xml:space="preserve"> edition). </w:t>
      </w:r>
    </w:p>
    <w:p w:rsidR="0092787E" w:rsidRPr="002C2F4C" w:rsidRDefault="0092787E" w:rsidP="00417558">
      <w:pPr>
        <w:pStyle w:val="ListParagraph"/>
        <w:numPr>
          <w:ilvl w:val="0"/>
          <w:numId w:val="1"/>
        </w:numPr>
        <w:rPr>
          <w:lang w:val="en-US"/>
        </w:rPr>
      </w:pPr>
      <w:r w:rsidRPr="002C2F4C">
        <w:rPr>
          <w:lang w:val="en-US"/>
        </w:rPr>
        <w:t xml:space="preserve">US Department of Commerce, US Census Bureau, </w:t>
      </w:r>
      <w:r w:rsidRPr="002C2F4C">
        <w:rPr>
          <w:i/>
          <w:lang w:val="en-US"/>
        </w:rPr>
        <w:t>International database</w:t>
      </w:r>
      <w:r w:rsidRPr="002C2F4C">
        <w:rPr>
          <w:lang w:val="en-US"/>
        </w:rPr>
        <w:t xml:space="preserve">, downloaded from: </w:t>
      </w:r>
      <w:hyperlink r:id="rId7" w:history="1">
        <w:r w:rsidRPr="002C2F4C">
          <w:rPr>
            <w:rStyle w:val="Hyperlink"/>
            <w:lang w:val="en-US"/>
          </w:rPr>
          <w:t>http://www.census.gov/population/international/data/idb/informationGateway.php</w:t>
        </w:r>
      </w:hyperlink>
    </w:p>
    <w:p w:rsidR="0092787E" w:rsidRPr="002C2F4C" w:rsidRDefault="0092787E" w:rsidP="00417558">
      <w:pPr>
        <w:pStyle w:val="ListParagraph"/>
        <w:numPr>
          <w:ilvl w:val="0"/>
          <w:numId w:val="1"/>
        </w:numPr>
        <w:rPr>
          <w:lang w:val="en-US"/>
        </w:rPr>
      </w:pPr>
      <w:r w:rsidRPr="002C2F4C">
        <w:rPr>
          <w:lang w:val="en-US"/>
        </w:rPr>
        <w:t>Unesco, Statistical yearbook, Paris: Unesco, 1964-1999, 1963-1999</w:t>
      </w:r>
    </w:p>
    <w:p w:rsidR="0092787E" w:rsidRPr="002C2F4C" w:rsidRDefault="0092787E" w:rsidP="00417558">
      <w:pPr>
        <w:pStyle w:val="ListParagraph"/>
        <w:numPr>
          <w:ilvl w:val="0"/>
          <w:numId w:val="1"/>
        </w:numPr>
        <w:rPr>
          <w:lang w:val="en-US"/>
        </w:rPr>
      </w:pPr>
      <w:r w:rsidRPr="002C2F4C">
        <w:rPr>
          <w:lang w:val="en-US"/>
        </w:rPr>
        <w:t>Blue books of the British colonies (various issues)</w:t>
      </w:r>
    </w:p>
    <w:p w:rsidR="00417558" w:rsidRPr="002C2F4C" w:rsidRDefault="0092787E" w:rsidP="00B64C5E">
      <w:pPr>
        <w:ind w:left="709" w:hanging="709"/>
        <w:rPr>
          <w:lang w:val="en-US"/>
        </w:rPr>
      </w:pPr>
      <w:r w:rsidRPr="002C2F4C">
        <w:rPr>
          <w:lang w:val="en-US"/>
        </w:rPr>
        <w:t>Some of the data are also taken from papers:</w:t>
      </w:r>
    </w:p>
    <w:p w:rsidR="002C2F4C" w:rsidRPr="002C2F4C" w:rsidRDefault="002C2F4C" w:rsidP="002C2F4C">
      <w:pPr>
        <w:pStyle w:val="ListParagraph"/>
        <w:numPr>
          <w:ilvl w:val="0"/>
          <w:numId w:val="1"/>
        </w:numPr>
        <w:tabs>
          <w:tab w:val="left" w:pos="850"/>
          <w:tab w:val="left" w:pos="1191"/>
          <w:tab w:val="left" w:pos="1531"/>
        </w:tabs>
        <w:spacing w:after="240"/>
        <w:rPr>
          <w:rFonts w:eastAsia="Times New Roman" w:cs="Times New Roman"/>
          <w:lang w:val="en-GB" w:eastAsia="zh-CN"/>
        </w:rPr>
      </w:pPr>
      <w:r w:rsidRPr="002C2F4C">
        <w:rPr>
          <w:rFonts w:eastAsia="TimesNewRoman" w:cs="Times New Roman"/>
          <w:lang w:val="en-GB" w:eastAsia="zh-CN"/>
        </w:rPr>
        <w:t xml:space="preserve">Morrisson, Ch, and F. Murtin (2009), “The Century of Education,” </w:t>
      </w:r>
      <w:r w:rsidRPr="002C2F4C">
        <w:rPr>
          <w:rFonts w:eastAsia="TimesNewRoman,Italic" w:cs="Times New Roman"/>
          <w:i/>
          <w:iCs/>
          <w:lang w:val="en-GB" w:eastAsia="zh-CN"/>
        </w:rPr>
        <w:t xml:space="preserve">Journal of Human Capital, </w:t>
      </w:r>
      <w:r w:rsidRPr="002C2F4C">
        <w:rPr>
          <w:rFonts w:eastAsia="TimesNewRoman,Italic" w:cs="Times New Roman"/>
          <w:iCs/>
          <w:lang w:val="en-GB" w:eastAsia="zh-CN"/>
        </w:rPr>
        <w:t>Vol. </w:t>
      </w:r>
      <w:r w:rsidRPr="002C2F4C">
        <w:rPr>
          <w:rFonts w:eastAsia="TimesNewRoman" w:cs="Times New Roman"/>
          <w:lang w:val="en-GB" w:eastAsia="zh-CN"/>
        </w:rPr>
        <w:t>3/1, pp. 1-42.</w:t>
      </w:r>
    </w:p>
    <w:p w:rsidR="002C2F4C" w:rsidRPr="002C2F4C" w:rsidRDefault="002C2F4C" w:rsidP="002C2F4C">
      <w:pPr>
        <w:pStyle w:val="ListParagraph"/>
        <w:numPr>
          <w:ilvl w:val="0"/>
          <w:numId w:val="1"/>
        </w:numPr>
        <w:tabs>
          <w:tab w:val="left" w:pos="850"/>
          <w:tab w:val="left" w:pos="1191"/>
          <w:tab w:val="left" w:pos="1531"/>
        </w:tabs>
        <w:spacing w:after="240"/>
        <w:rPr>
          <w:rFonts w:eastAsia="Times New Roman" w:cs="Times New Roman"/>
          <w:lang w:val="en-GB" w:eastAsia="zh-CN"/>
        </w:rPr>
      </w:pPr>
      <w:r w:rsidRPr="002C2F4C">
        <w:rPr>
          <w:rFonts w:eastAsia="Times New Roman" w:cs="Times New Roman"/>
          <w:lang w:val="en-GB" w:eastAsia="zh-CN"/>
        </w:rPr>
        <w:t xml:space="preserve">Földvári, P., and B. Van Leeuwen, (2009), “Average years of education in Hungary: annual estimates 1920-2006,” </w:t>
      </w:r>
      <w:r w:rsidRPr="002C2F4C">
        <w:rPr>
          <w:rFonts w:eastAsia="Times New Roman" w:cs="Times New Roman"/>
          <w:i/>
          <w:lang w:val="en-GB" w:eastAsia="zh-CN"/>
        </w:rPr>
        <w:t>Eastern European Economics</w:t>
      </w:r>
      <w:r w:rsidRPr="002C2F4C">
        <w:rPr>
          <w:rFonts w:eastAsia="Times New Roman" w:cs="Times New Roman"/>
          <w:lang w:val="en-GB" w:eastAsia="zh-CN"/>
        </w:rPr>
        <w:t>, Vol. 47/2, pp. 5-20.</w:t>
      </w:r>
    </w:p>
    <w:p w:rsidR="002C2F4C" w:rsidRPr="002C2F4C" w:rsidRDefault="002C2F4C" w:rsidP="002C2F4C">
      <w:pPr>
        <w:pStyle w:val="ListParagraph"/>
        <w:numPr>
          <w:ilvl w:val="0"/>
          <w:numId w:val="1"/>
        </w:numPr>
        <w:tabs>
          <w:tab w:val="left" w:pos="850"/>
          <w:tab w:val="left" w:pos="1191"/>
          <w:tab w:val="left" w:pos="1531"/>
        </w:tabs>
        <w:spacing w:after="240"/>
        <w:rPr>
          <w:rFonts w:eastAsia="Times New Roman" w:cs="Times New Roman"/>
          <w:lang w:val="en-GB" w:eastAsia="zh-CN"/>
        </w:rPr>
      </w:pPr>
      <w:r w:rsidRPr="002C2F4C">
        <w:rPr>
          <w:rFonts w:eastAsia="Times New Roman" w:cs="Times New Roman"/>
          <w:lang w:val="en-GB" w:eastAsia="zh-CN"/>
        </w:rPr>
        <w:t xml:space="preserve">Földvári, P., B. Van Leeuwen, and J. Van Leeuwen-Li (forthcoming), “Educational and income inequality in Europe, 1870-2000,” </w:t>
      </w:r>
      <w:r w:rsidRPr="002C2F4C">
        <w:rPr>
          <w:rFonts w:eastAsia="Times New Roman" w:cs="Times New Roman"/>
          <w:i/>
          <w:lang w:val="en-GB" w:eastAsia="zh-CN"/>
        </w:rPr>
        <w:t xml:space="preserve">Cliometrica, </w:t>
      </w:r>
      <w:r w:rsidRPr="002C2F4C">
        <w:rPr>
          <w:rFonts w:eastAsia="Times New Roman" w:cs="Times New Roman"/>
          <w:lang w:val="en-GB" w:eastAsia="zh-CN"/>
        </w:rPr>
        <w:t xml:space="preserve">Forthcoming. </w:t>
      </w:r>
    </w:p>
    <w:p w:rsidR="00804DEB" w:rsidRPr="002C2F4C" w:rsidRDefault="00804DEB" w:rsidP="0092787E">
      <w:pPr>
        <w:pStyle w:val="ListParagraph"/>
        <w:numPr>
          <w:ilvl w:val="0"/>
          <w:numId w:val="1"/>
        </w:numPr>
        <w:rPr>
          <w:lang w:val="en-US"/>
        </w:rPr>
      </w:pPr>
      <w:r w:rsidRPr="002C2F4C">
        <w:rPr>
          <w:lang w:val="en-US"/>
        </w:rPr>
        <w:t xml:space="preserve">Leeuwen, </w:t>
      </w:r>
      <w:r w:rsidR="0092787E" w:rsidRPr="002C2F4C">
        <w:rPr>
          <w:lang w:val="en-US"/>
        </w:rPr>
        <w:t xml:space="preserve">Bas van, </w:t>
      </w:r>
      <w:r w:rsidRPr="002C2F4C">
        <w:rPr>
          <w:lang w:val="en-US"/>
        </w:rPr>
        <w:t>Jieli van Leeuwen-Li, and Péter Földvári, 'Regional human capital in Republican and New China: Its spread, quality and effects on economic growth,' 26 July 2011.</w:t>
      </w:r>
    </w:p>
    <w:p w:rsidR="00804DEB" w:rsidRPr="002C2F4C" w:rsidRDefault="00804DEB" w:rsidP="0092787E">
      <w:pPr>
        <w:pStyle w:val="ListParagraph"/>
        <w:numPr>
          <w:ilvl w:val="0"/>
          <w:numId w:val="1"/>
        </w:numPr>
        <w:rPr>
          <w:lang w:val="en-US"/>
        </w:rPr>
      </w:pPr>
      <w:r w:rsidRPr="002C2F4C">
        <w:rPr>
          <w:lang w:val="en-US"/>
        </w:rPr>
        <w:t xml:space="preserve"> Leeuwen, </w:t>
      </w:r>
      <w:r w:rsidR="0092787E" w:rsidRPr="002C2F4C">
        <w:rPr>
          <w:lang w:val="en-US"/>
        </w:rPr>
        <w:t xml:space="preserve">Bas van, </w:t>
      </w:r>
      <w:r w:rsidRPr="002C2F4C">
        <w:rPr>
          <w:lang w:val="en-US"/>
        </w:rPr>
        <w:t>Jieli van Leeuwen-Li, and Péter Földvári, 'Was education a driver of economic development in Africa? Inequality and income in the twentieth century,' 23 April 2012.</w:t>
      </w:r>
    </w:p>
    <w:p w:rsidR="002C2F4C" w:rsidRPr="002C2F4C" w:rsidRDefault="002C2F4C" w:rsidP="0092787E">
      <w:pPr>
        <w:pStyle w:val="ListParagraph"/>
        <w:numPr>
          <w:ilvl w:val="0"/>
          <w:numId w:val="1"/>
        </w:numPr>
        <w:rPr>
          <w:rFonts w:eastAsia="Times New Roman" w:cs="Times New Roman"/>
          <w:lang w:val="en-US" w:eastAsia="zh-CN"/>
        </w:rPr>
      </w:pPr>
      <w:r w:rsidRPr="002C2F4C">
        <w:rPr>
          <w:lang w:val="en-US"/>
        </w:rPr>
        <w:t>Dmitry Didenko, Péter Földvári and Bas van Leeuwen, 'The spread of human capital in the former Soviet Union area in a comparative perspective: Exploring a new dataset,'</w:t>
      </w:r>
      <w:r w:rsidRPr="002C2F4C">
        <w:rPr>
          <w:rStyle w:val="Emphasis"/>
          <w:lang w:val="en-US"/>
        </w:rPr>
        <w:t xml:space="preserve"> Journal of Eurasian studies</w:t>
      </w:r>
      <w:r w:rsidRPr="002C2F4C">
        <w:rPr>
          <w:lang w:val="en-US"/>
        </w:rPr>
        <w:t>, Vol. 4 (2) 2013, pp. 123-135.</w:t>
      </w:r>
    </w:p>
    <w:p w:rsidR="002C2F4C" w:rsidRDefault="002C2F4C" w:rsidP="008274E7">
      <w:pPr>
        <w:rPr>
          <w:lang w:val="en-US"/>
        </w:rPr>
      </w:pPr>
    </w:p>
    <w:p w:rsidR="008274E7" w:rsidRDefault="008274E7" w:rsidP="008274E7">
      <w:pPr>
        <w:rPr>
          <w:lang w:val="en-US"/>
        </w:rPr>
      </w:pPr>
      <w:r>
        <w:rPr>
          <w:lang w:val="en-US"/>
        </w:rPr>
        <w:t>17. Text</w:t>
      </w:r>
    </w:p>
    <w:p w:rsidR="00417558" w:rsidRPr="00417558" w:rsidRDefault="002C2F4C" w:rsidP="00417558">
      <w:pPr>
        <w:rPr>
          <w:lang w:val="en-US"/>
        </w:rPr>
      </w:pPr>
      <w:r>
        <w:rPr>
          <w:lang w:val="en-US"/>
        </w:rPr>
        <w:t>As pointed out, most of the data are derived from census data or from existing studies. Yet. b</w:t>
      </w:r>
      <w:r w:rsidR="00417558" w:rsidRPr="00417558">
        <w:rPr>
          <w:lang w:val="en-US"/>
        </w:rPr>
        <w:t xml:space="preserve">efore the 1960s, when no benchmark estimates are available anymore, we have to rely solely on a perpetual inventory method. This method is partially based on Schultze and Fernandes (2009). This method is difficult to write down in equations, but perhaps easier to describe in words. If a person is, for example, going to school in 1900, a enrollment rate is calculate for that year (i.e. how many people enter school, divided by the relevant school age children). 10 years later, he/she enters 15. Hence, in 1915 we use the 1900 enrollment ratio and multiply it with the people age 5-10 in 1910. In this way we correct for any mortality that may occur in the </w:t>
      </w:r>
      <w:r w:rsidRPr="00417558">
        <w:rPr>
          <w:lang w:val="en-US"/>
        </w:rPr>
        <w:t>meantime</w:t>
      </w:r>
      <w:r w:rsidR="00417558" w:rsidRPr="00417558">
        <w:rPr>
          <w:lang w:val="en-US"/>
        </w:rPr>
        <w:t xml:space="preserve">. This same procedure is done for all education levels, age classes, and years and leads to an estimate of average years of education with age specific mortality rates. </w:t>
      </w:r>
    </w:p>
    <w:p w:rsidR="00417558" w:rsidRDefault="00417558" w:rsidP="003132A6">
      <w:pPr>
        <w:rPr>
          <w:lang w:val="en-US"/>
        </w:rPr>
      </w:pPr>
    </w:p>
    <w:p w:rsidR="00417558" w:rsidRDefault="00417558" w:rsidP="003132A6">
      <w:pPr>
        <w:rPr>
          <w:lang w:val="en-US"/>
        </w:rPr>
      </w:pPr>
    </w:p>
    <w:p w:rsidR="00417558" w:rsidRDefault="00417558" w:rsidP="003132A6">
      <w:pPr>
        <w:rPr>
          <w:lang w:val="en-US"/>
        </w:rPr>
      </w:pPr>
    </w:p>
    <w:p w:rsidR="00471780" w:rsidRDefault="00471780" w:rsidP="003132A6">
      <w:pPr>
        <w:rPr>
          <w:lang w:val="en-US"/>
        </w:rPr>
      </w:pPr>
    </w:p>
    <w:p w:rsidR="00331DB6" w:rsidRDefault="008274E7" w:rsidP="003132A6">
      <w:pPr>
        <w:rPr>
          <w:lang w:val="en-US"/>
        </w:rPr>
      </w:pPr>
      <w:r>
        <w:rPr>
          <w:lang w:val="en-US"/>
        </w:rPr>
        <w:t xml:space="preserve">This </w:t>
      </w:r>
      <w:r w:rsidR="00D90C18">
        <w:rPr>
          <w:lang w:val="en-US"/>
        </w:rPr>
        <w:t xml:space="preserve">data collection </w:t>
      </w:r>
      <w:r>
        <w:rPr>
          <w:lang w:val="en-US"/>
        </w:rPr>
        <w:t>was carried out within the framework of the CLI</w:t>
      </w:r>
      <w:r w:rsidR="00331DB6">
        <w:rPr>
          <w:lang w:val="en-US"/>
        </w:rPr>
        <w:t>O-INFRA project financed by the Netherlands Organisatio</w:t>
      </w:r>
      <w:r w:rsidR="00D90C18">
        <w:rPr>
          <w:lang w:val="en-US"/>
        </w:rPr>
        <w:t>n for Scientific Research (NWO).</w:t>
      </w:r>
    </w:p>
    <w:p w:rsidR="00471780" w:rsidRDefault="00471780" w:rsidP="003132A6">
      <w:pPr>
        <w:rPr>
          <w:lang w:val="en-US"/>
        </w:rPr>
      </w:pPr>
    </w:p>
    <w:p w:rsidR="00471780" w:rsidRDefault="00471780" w:rsidP="003132A6">
      <w:pPr>
        <w:rPr>
          <w:lang w:val="en-US"/>
        </w:rPr>
      </w:pPr>
      <w:r>
        <w:rPr>
          <w:lang w:val="en-US"/>
        </w:rPr>
        <w:t>References:</w:t>
      </w:r>
    </w:p>
    <w:p w:rsidR="00417558" w:rsidRPr="00417558" w:rsidRDefault="00417558" w:rsidP="00417558">
      <w:pPr>
        <w:ind w:left="709" w:hanging="709"/>
        <w:jc w:val="both"/>
        <w:rPr>
          <w:lang w:val="en-US"/>
        </w:rPr>
      </w:pPr>
      <w:r w:rsidRPr="00417558">
        <w:rPr>
          <w:lang w:val="en-US"/>
        </w:rPr>
        <w:t>Schulze, Max-Stephan and Fernandes, F. T. (2009), “</w:t>
      </w:r>
      <w:r w:rsidRPr="00417558">
        <w:rPr>
          <w:rStyle w:val="Strong"/>
          <w:b w:val="0"/>
          <w:lang w:val="en-US"/>
        </w:rPr>
        <w:t>Human capital formation in Austria-Hungary and Germany: time series estimates of educational attainment, 1860-1910.</w:t>
      </w:r>
      <w:r w:rsidRPr="00417558">
        <w:rPr>
          <w:lang w:val="en-US"/>
        </w:rPr>
        <w:t xml:space="preserve">” In: Halmos, Károly </w:t>
      </w:r>
      <w:r w:rsidRPr="00417558">
        <w:rPr>
          <w:lang w:val="en-US"/>
        </w:rPr>
        <w:lastRenderedPageBreak/>
        <w:t>and Klement, Judit and Pogány, Ágnes and Tomka, Béla, (eds.) A felhalmozás míve: történeti tanulmányok Kövér György tiszteletére. Századvég Kiadó, Budapest, Hungary.</w:t>
      </w:r>
    </w:p>
    <w:p w:rsidR="00471780" w:rsidRPr="00417558" w:rsidRDefault="00471780" w:rsidP="003132A6">
      <w:pPr>
        <w:rPr>
          <w:lang w:val="en-US"/>
        </w:rPr>
      </w:pPr>
    </w:p>
    <w:sectPr w:rsidR="00471780" w:rsidRPr="00417558" w:rsidSect="007A56C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D2E" w:rsidRDefault="00E62D2E" w:rsidP="00417558">
      <w:r>
        <w:separator/>
      </w:r>
    </w:p>
  </w:endnote>
  <w:endnote w:type="continuationSeparator" w:id="0">
    <w:p w:rsidR="00E62D2E" w:rsidRDefault="00E62D2E" w:rsidP="0041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76668"/>
      <w:docPartObj>
        <w:docPartGallery w:val="Page Numbers (Bottom of Page)"/>
        <w:docPartUnique/>
      </w:docPartObj>
    </w:sdtPr>
    <w:sdtEndPr/>
    <w:sdtContent>
      <w:p w:rsidR="00417558" w:rsidRDefault="00F21240">
        <w:pPr>
          <w:pStyle w:val="Footer"/>
          <w:jc w:val="center"/>
        </w:pPr>
        <w:r>
          <w:fldChar w:fldCharType="begin"/>
        </w:r>
        <w:r>
          <w:instrText xml:space="preserve"> PAGE   \* MERGEFORMAT </w:instrText>
        </w:r>
        <w:r>
          <w:fldChar w:fldCharType="separate"/>
        </w:r>
        <w:r w:rsidR="00377205">
          <w:rPr>
            <w:noProof/>
          </w:rPr>
          <w:t>1</w:t>
        </w:r>
        <w:r>
          <w:rPr>
            <w:noProof/>
          </w:rPr>
          <w:fldChar w:fldCharType="end"/>
        </w:r>
      </w:p>
    </w:sdtContent>
  </w:sdt>
  <w:p w:rsidR="00417558" w:rsidRDefault="004175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D2E" w:rsidRDefault="00E62D2E" w:rsidP="00417558">
      <w:r>
        <w:separator/>
      </w:r>
    </w:p>
  </w:footnote>
  <w:footnote w:type="continuationSeparator" w:id="0">
    <w:p w:rsidR="00E62D2E" w:rsidRDefault="00E62D2E" w:rsidP="004175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374"/>
    <w:multiLevelType w:val="hybridMultilevel"/>
    <w:tmpl w:val="61B612B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3BA9"/>
    <w:rsid w:val="0001485D"/>
    <w:rsid w:val="00073BA9"/>
    <w:rsid w:val="000A5D8F"/>
    <w:rsid w:val="000C23CC"/>
    <w:rsid w:val="0018359E"/>
    <w:rsid w:val="001C3A4B"/>
    <w:rsid w:val="001D03B2"/>
    <w:rsid w:val="002004D8"/>
    <w:rsid w:val="0022249F"/>
    <w:rsid w:val="002C2F4C"/>
    <w:rsid w:val="002C765E"/>
    <w:rsid w:val="00301C0D"/>
    <w:rsid w:val="003132A6"/>
    <w:rsid w:val="00331DB6"/>
    <w:rsid w:val="00377205"/>
    <w:rsid w:val="00417558"/>
    <w:rsid w:val="00471780"/>
    <w:rsid w:val="0049543E"/>
    <w:rsid w:val="004C280F"/>
    <w:rsid w:val="004E371B"/>
    <w:rsid w:val="005A2035"/>
    <w:rsid w:val="005D7DE0"/>
    <w:rsid w:val="006D2C22"/>
    <w:rsid w:val="00752376"/>
    <w:rsid w:val="00780B6A"/>
    <w:rsid w:val="007A56C1"/>
    <w:rsid w:val="00804DEB"/>
    <w:rsid w:val="008274E7"/>
    <w:rsid w:val="008A4DC9"/>
    <w:rsid w:val="008C2A88"/>
    <w:rsid w:val="008D7E0B"/>
    <w:rsid w:val="00922358"/>
    <w:rsid w:val="0092787E"/>
    <w:rsid w:val="00953388"/>
    <w:rsid w:val="00AA754B"/>
    <w:rsid w:val="00AE4E50"/>
    <w:rsid w:val="00B04827"/>
    <w:rsid w:val="00B17D7A"/>
    <w:rsid w:val="00B53929"/>
    <w:rsid w:val="00B64C5E"/>
    <w:rsid w:val="00B65D0C"/>
    <w:rsid w:val="00BA2BA6"/>
    <w:rsid w:val="00BA77C4"/>
    <w:rsid w:val="00BB4FAB"/>
    <w:rsid w:val="00BC311F"/>
    <w:rsid w:val="00BD11A5"/>
    <w:rsid w:val="00C04629"/>
    <w:rsid w:val="00C16C16"/>
    <w:rsid w:val="00C35B1A"/>
    <w:rsid w:val="00C566C7"/>
    <w:rsid w:val="00C66743"/>
    <w:rsid w:val="00C809B2"/>
    <w:rsid w:val="00C96AD9"/>
    <w:rsid w:val="00CB59EE"/>
    <w:rsid w:val="00D90C18"/>
    <w:rsid w:val="00D943F7"/>
    <w:rsid w:val="00DF2464"/>
    <w:rsid w:val="00E3589C"/>
    <w:rsid w:val="00E42E4F"/>
    <w:rsid w:val="00E62D2E"/>
    <w:rsid w:val="00E6551D"/>
    <w:rsid w:val="00F21240"/>
    <w:rsid w:val="00F42E54"/>
    <w:rsid w:val="00F445E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C8D7B-EE41-4001-8410-98906103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character" w:customStyle="1" w:styleId="field-content">
    <w:name w:val="field-content"/>
    <w:basedOn w:val="DefaultParagraphFont"/>
    <w:rsid w:val="00804DEB"/>
  </w:style>
  <w:style w:type="character" w:styleId="Strong">
    <w:name w:val="Strong"/>
    <w:basedOn w:val="DefaultParagraphFont"/>
    <w:uiPriority w:val="22"/>
    <w:qFormat/>
    <w:rsid w:val="00417558"/>
    <w:rPr>
      <w:b/>
      <w:bCs/>
    </w:rPr>
  </w:style>
  <w:style w:type="paragraph" w:styleId="ListParagraph">
    <w:name w:val="List Paragraph"/>
    <w:basedOn w:val="Normal"/>
    <w:uiPriority w:val="34"/>
    <w:qFormat/>
    <w:rsid w:val="00417558"/>
    <w:pPr>
      <w:ind w:left="720"/>
      <w:contextualSpacing/>
    </w:pPr>
  </w:style>
  <w:style w:type="paragraph" w:styleId="Header">
    <w:name w:val="header"/>
    <w:basedOn w:val="Normal"/>
    <w:link w:val="HeaderChar"/>
    <w:uiPriority w:val="99"/>
    <w:semiHidden/>
    <w:unhideWhenUsed/>
    <w:rsid w:val="00417558"/>
    <w:pPr>
      <w:tabs>
        <w:tab w:val="center" w:pos="4536"/>
        <w:tab w:val="right" w:pos="9072"/>
      </w:tabs>
    </w:pPr>
  </w:style>
  <w:style w:type="character" w:customStyle="1" w:styleId="HeaderChar">
    <w:name w:val="Header Char"/>
    <w:basedOn w:val="DefaultParagraphFont"/>
    <w:link w:val="Header"/>
    <w:uiPriority w:val="99"/>
    <w:semiHidden/>
    <w:rsid w:val="00417558"/>
  </w:style>
  <w:style w:type="paragraph" w:styleId="Footer">
    <w:name w:val="footer"/>
    <w:basedOn w:val="Normal"/>
    <w:link w:val="FooterChar"/>
    <w:uiPriority w:val="99"/>
    <w:unhideWhenUsed/>
    <w:rsid w:val="00417558"/>
    <w:pPr>
      <w:tabs>
        <w:tab w:val="center" w:pos="4536"/>
        <w:tab w:val="right" w:pos="9072"/>
      </w:tabs>
    </w:pPr>
  </w:style>
  <w:style w:type="character" w:customStyle="1" w:styleId="FooterChar">
    <w:name w:val="Footer Char"/>
    <w:basedOn w:val="DefaultParagraphFont"/>
    <w:link w:val="Footer"/>
    <w:uiPriority w:val="99"/>
    <w:rsid w:val="00417558"/>
  </w:style>
  <w:style w:type="character" w:styleId="Emphasis">
    <w:name w:val="Emphasis"/>
    <w:basedOn w:val="DefaultParagraphFont"/>
    <w:uiPriority w:val="20"/>
    <w:qFormat/>
    <w:rsid w:val="002C2F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7735">
      <w:bodyDiv w:val="1"/>
      <w:marLeft w:val="0"/>
      <w:marRight w:val="0"/>
      <w:marTop w:val="0"/>
      <w:marBottom w:val="0"/>
      <w:divBdr>
        <w:top w:val="none" w:sz="0" w:space="0" w:color="auto"/>
        <w:left w:val="none" w:sz="0" w:space="0" w:color="auto"/>
        <w:bottom w:val="none" w:sz="0" w:space="0" w:color="auto"/>
        <w:right w:val="none" w:sz="0" w:space="0" w:color="auto"/>
      </w:divBdr>
      <w:divsChild>
        <w:div w:id="870724211">
          <w:marLeft w:val="0"/>
          <w:marRight w:val="0"/>
          <w:marTop w:val="0"/>
          <w:marBottom w:val="0"/>
          <w:divBdr>
            <w:top w:val="none" w:sz="0" w:space="0" w:color="auto"/>
            <w:left w:val="none" w:sz="0" w:space="0" w:color="auto"/>
            <w:bottom w:val="none" w:sz="0" w:space="0" w:color="auto"/>
            <w:right w:val="none" w:sz="0" w:space="0" w:color="auto"/>
          </w:divBdr>
        </w:div>
        <w:div w:id="2035569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ensus.gov/population/international/data/idb/informationGatewa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4</cp:revision>
  <cp:lastPrinted>2012-04-10T10:31:00Z</cp:lastPrinted>
  <dcterms:created xsi:type="dcterms:W3CDTF">2014-07-25T05:00:00Z</dcterms:created>
  <dcterms:modified xsi:type="dcterms:W3CDTF">2015-12-13T11:50:00Z</dcterms:modified>
</cp:coreProperties>
</file>