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lang w:val="en-US"/>
        </w:rPr>
      </w:pPr>
      <w:r>
        <w:rPr>
          <w:b/>
          <w:sz w:val="28"/>
          <w:szCs w:val="28"/>
          <w:lang w:val="en-US"/>
        </w:rPr>
        <w:t>Working Paper CLIO-INFRA</w:t>
      </w:r>
    </w:p>
    <w:p>
      <w:pPr>
        <w:pStyle w:val="Normal"/>
        <w:jc w:val="center"/>
        <w:rPr/>
      </w:pPr>
      <w:r>
        <w:rPr/>
      </w:r>
    </w:p>
    <w:p>
      <w:pPr>
        <w:pStyle w:val="Normal"/>
        <w:rPr/>
      </w:pPr>
      <w:r>
        <w:rPr/>
      </w:r>
    </w:p>
    <w:p>
      <w:pPr>
        <w:pStyle w:val="Normal"/>
        <w:rPr>
          <w:lang w:val="en-US"/>
        </w:rPr>
      </w:pPr>
      <w:r>
        <w:rPr>
          <w:lang w:val="en-US"/>
        </w:rPr>
        <w:t>1. Title of the dataset</w:t>
      </w:r>
    </w:p>
    <w:p>
      <w:pPr>
        <w:pStyle w:val="Normal"/>
        <w:rPr>
          <w:lang w:val="en-US"/>
        </w:rPr>
      </w:pPr>
      <w:r>
        <w:rPr>
          <w:lang w:val="en-US"/>
        </w:rPr>
        <w:t>Composite measure of wellbeing</w:t>
      </w:r>
    </w:p>
    <w:p>
      <w:pPr>
        <w:pStyle w:val="Normal"/>
        <w:rPr>
          <w:lang w:val="en-US"/>
        </w:rPr>
      </w:pPr>
      <w:r>
        <w:rPr>
          <w:lang w:val="en-US"/>
        </w:rPr>
      </w:r>
    </w:p>
    <w:p>
      <w:pPr>
        <w:pStyle w:val="Normal"/>
        <w:rPr/>
      </w:pPr>
      <w:r>
        <w:rPr/>
        <w:t>2. Author(s)</w:t>
      </w:r>
    </w:p>
    <w:p>
      <w:pPr>
        <w:pStyle w:val="Normal"/>
        <w:rPr>
          <w:lang w:val="en-US"/>
        </w:rPr>
      </w:pPr>
      <w:r>
        <w:rPr>
          <w:lang w:val="en-US"/>
        </w:rPr>
        <w:t>Auke Rijpma</w:t>
      </w:r>
    </w:p>
    <w:p>
      <w:pPr>
        <w:pStyle w:val="Normal"/>
        <w:rPr/>
      </w:pPr>
      <w:r>
        <w:rPr/>
      </w:r>
    </w:p>
    <w:p>
      <w:pPr>
        <w:pStyle w:val="Normal"/>
        <w:rPr>
          <w:lang w:val="en-US"/>
        </w:rPr>
      </w:pPr>
      <w:r>
        <w:rPr>
          <w:lang w:val="en-US"/>
        </w:rPr>
        <w:t>3. Production date</w:t>
      </w:r>
    </w:p>
    <w:p>
      <w:pPr>
        <w:pStyle w:val="Normal"/>
        <w:rPr>
          <w:lang w:val="en-US"/>
        </w:rPr>
      </w:pPr>
      <w:r>
        <w:rPr>
          <w:lang w:val="en-US"/>
        </w:rPr>
        <w:t>December 2014</w:t>
      </w:r>
    </w:p>
    <w:p>
      <w:pPr>
        <w:pStyle w:val="Normal"/>
        <w:rPr>
          <w:lang w:val="en-US"/>
        </w:rPr>
      </w:pPr>
      <w:r>
        <w:rPr>
          <w:lang w:val="en-US"/>
        </w:rPr>
      </w:r>
    </w:p>
    <w:p>
      <w:pPr>
        <w:pStyle w:val="Normal"/>
        <w:rPr>
          <w:lang w:val="en-US"/>
        </w:rPr>
      </w:pPr>
      <w:r>
        <w:rPr>
          <w:lang w:val="en-US"/>
        </w:rPr>
        <w:t>4. Version</w:t>
      </w:r>
    </w:p>
    <w:p>
      <w:pPr>
        <w:pStyle w:val="Normal"/>
        <w:rPr>
          <w:lang w:val="en-US"/>
        </w:rPr>
      </w:pPr>
      <w:r>
        <w:rPr>
          <w:lang w:val="en-US"/>
        </w:rPr>
        <w:t>1.0</w:t>
      </w:r>
    </w:p>
    <w:p>
      <w:pPr>
        <w:pStyle w:val="Normal"/>
        <w:rPr>
          <w:lang w:val="en-US"/>
        </w:rPr>
      </w:pPr>
      <w:r>
        <w:rPr>
          <w:lang w:val="en-US"/>
        </w:rPr>
      </w:r>
    </w:p>
    <w:p>
      <w:pPr>
        <w:pStyle w:val="Normal"/>
        <w:rPr>
          <w:lang w:val="en-US"/>
        </w:rPr>
      </w:pPr>
      <w:r>
        <w:rPr>
          <w:lang w:val="en-US"/>
        </w:rPr>
        <w:t>5. Variable group(s)</w:t>
      </w:r>
    </w:p>
    <w:p>
      <w:pPr>
        <w:pStyle w:val="Normal"/>
        <w:rPr>
          <w:lang w:val="en-US"/>
        </w:rPr>
      </w:pPr>
      <w:r>
        <w:rPr>
          <w:lang w:val="en-US"/>
        </w:rPr>
        <w:t>Wellbeing</w:t>
      </w:r>
    </w:p>
    <w:p>
      <w:pPr>
        <w:pStyle w:val="Normal"/>
        <w:rPr>
          <w:lang w:val="en-US"/>
        </w:rPr>
      </w:pPr>
      <w:r>
        <w:rPr>
          <w:lang w:val="en-US"/>
        </w:rPr>
      </w:r>
    </w:p>
    <w:p>
      <w:pPr>
        <w:pStyle w:val="Normal"/>
        <w:rPr>
          <w:lang w:val="en-US"/>
        </w:rPr>
      </w:pPr>
      <w:r>
        <w:rPr>
          <w:lang w:val="en-US"/>
        </w:rPr>
        <w:t>6. Variable(s)</w:t>
      </w:r>
    </w:p>
    <w:p>
      <w:pPr>
        <w:pStyle w:val="Normal"/>
        <w:rPr>
          <w:lang w:val="en-US"/>
        </w:rPr>
      </w:pPr>
      <w:r>
        <w:rPr>
          <w:lang w:val="en-US"/>
        </w:rPr>
        <w:t>Composite measure of wellbeing</w:t>
      </w:r>
    </w:p>
    <w:p>
      <w:pPr>
        <w:pStyle w:val="Normal"/>
        <w:rPr>
          <w:lang w:val="en-US"/>
        </w:rPr>
      </w:pPr>
      <w:r>
        <w:rPr>
          <w:lang w:val="en-US"/>
        </w:rPr>
      </w:r>
    </w:p>
    <w:p>
      <w:pPr>
        <w:pStyle w:val="Normal"/>
        <w:rPr>
          <w:lang w:val="en-US"/>
        </w:rPr>
      </w:pPr>
      <w:r>
        <w:rPr>
          <w:lang w:val="en-US"/>
        </w:rPr>
        <w:t>7a. Unit of analysis</w:t>
      </w:r>
    </w:p>
    <w:p>
      <w:pPr>
        <w:pStyle w:val="Normal"/>
        <w:rPr>
          <w:lang w:val="en-US"/>
        </w:rPr>
      </w:pPr>
      <w:r>
        <w:rPr>
          <w:lang w:val="en-US"/>
        </w:rPr>
        <w:t>Country</w:t>
      </w:r>
    </w:p>
    <w:p>
      <w:pPr>
        <w:pStyle w:val="Normal"/>
        <w:rPr/>
      </w:pPr>
      <w:r>
        <w:rPr/>
      </w:r>
    </w:p>
    <w:p>
      <w:pPr>
        <w:pStyle w:val="Normal"/>
        <w:rPr>
          <w:lang w:val="en-US"/>
        </w:rPr>
      </w:pPr>
      <w:r>
        <w:rPr>
          <w:lang w:val="en-US"/>
        </w:rPr>
        <w:t>7b. Unit of measurement</w:t>
      </w:r>
    </w:p>
    <w:p>
      <w:pPr>
        <w:pStyle w:val="Normal"/>
        <w:rPr>
          <w:lang w:val="en-US"/>
        </w:rPr>
      </w:pPr>
      <w:r>
        <w:rPr>
          <w:lang w:val="en-US"/>
        </w:rPr>
        <w:t>Composite measure</w:t>
      </w:r>
    </w:p>
    <w:p>
      <w:pPr>
        <w:pStyle w:val="Normal"/>
        <w:rPr>
          <w:lang w:val="en-US"/>
        </w:rPr>
      </w:pPr>
      <w:r>
        <w:rPr>
          <w:lang w:val="en-US"/>
        </w:rPr>
      </w:r>
    </w:p>
    <w:p>
      <w:pPr>
        <w:pStyle w:val="Normal"/>
        <w:rPr>
          <w:lang w:val="en-US"/>
        </w:rPr>
      </w:pPr>
      <w:r>
        <w:rPr>
          <w:lang w:val="en-US"/>
        </w:rPr>
        <w:t>8. Keywords</w:t>
      </w:r>
    </w:p>
    <w:p>
      <w:pPr>
        <w:pStyle w:val="Normal"/>
        <w:rPr>
          <w:lang w:val="en-US"/>
        </w:rPr>
      </w:pPr>
      <w:r>
        <w:rPr>
          <w:lang w:val="en-US"/>
        </w:rPr>
        <w:t>Composite measure, wellbeing</w:t>
      </w:r>
    </w:p>
    <w:p>
      <w:pPr>
        <w:pStyle w:val="Normal"/>
        <w:rPr>
          <w:lang w:val="en-US"/>
        </w:rPr>
      </w:pPr>
      <w:r>
        <w:rPr>
          <w:lang w:val="en-US"/>
        </w:rPr>
      </w:r>
    </w:p>
    <w:p>
      <w:pPr>
        <w:pStyle w:val="Normal"/>
        <w:rPr>
          <w:lang w:val="en-US"/>
        </w:rPr>
      </w:pPr>
      <w:r>
        <w:rPr>
          <w:lang w:val="en-US"/>
        </w:rPr>
        <w:t>9. Abstract (ca. 200 words)</w:t>
      </w:r>
    </w:p>
    <w:p>
      <w:pPr>
        <w:pStyle w:val="Normal"/>
        <w:rPr>
          <w:lang w:val="en-US"/>
        </w:rPr>
      </w:pPr>
      <w:r>
        <w:rPr>
          <w:lang w:val="en-US"/>
        </w:rPr>
        <w:t xml:space="preserve">This is a composite measure of wellbeing constructed from 9 variables from the Clio-Infra projected prsented in the </w:t>
      </w:r>
      <w:r>
        <w:rPr>
          <w:i/>
          <w:lang w:val="en-US"/>
        </w:rPr>
        <w:t>How was life</w:t>
      </w:r>
      <w:r>
        <w:rPr>
          <w:lang w:val="en-US"/>
        </w:rPr>
        <w:t xml:space="preserve"> report. Newer version forthcoming.</w:t>
      </w:r>
    </w:p>
    <w:p>
      <w:pPr>
        <w:pStyle w:val="Normal"/>
        <w:rPr>
          <w:lang w:val="en-US"/>
        </w:rPr>
      </w:pPr>
      <w:r>
        <w:rPr>
          <w:lang w:val="en-US"/>
        </w:rPr>
      </w:r>
    </w:p>
    <w:p>
      <w:pPr>
        <w:pStyle w:val="Normal"/>
        <w:rPr>
          <w:lang w:val="en-US"/>
        </w:rPr>
      </w:pPr>
      <w:r>
        <w:rPr>
          <w:lang w:val="en-US"/>
        </w:rPr>
        <w:t>10. Time period</w:t>
      </w:r>
    </w:p>
    <w:p>
      <w:pPr>
        <w:pStyle w:val="Normal"/>
        <w:rPr>
          <w:lang w:val="en-US"/>
        </w:rPr>
      </w:pPr>
      <w:r>
        <w:rPr>
          <w:lang w:val="en-US"/>
        </w:rPr>
        <w:t xml:space="preserve">1820-2010 (decennial, usually referring to xxx0 years, sometimes the decennial average: see </w:t>
      </w:r>
      <w:r>
        <w:rPr>
          <w:i/>
          <w:lang w:val="en-US"/>
        </w:rPr>
        <w:t>How was life</w:t>
      </w:r>
      <w:r>
        <w:rPr>
          <w:lang w:val="en-US"/>
        </w:rPr>
        <w:t>).</w:t>
      </w:r>
    </w:p>
    <w:p>
      <w:pPr>
        <w:pStyle w:val="Normal"/>
        <w:rPr>
          <w:lang w:val="en-US"/>
        </w:rPr>
      </w:pPr>
      <w:r>
        <w:rPr>
          <w:lang w:val="en-US"/>
        </w:rPr>
      </w:r>
    </w:p>
    <w:p>
      <w:pPr>
        <w:pStyle w:val="Normal"/>
        <w:rPr>
          <w:lang w:val="en-US"/>
        </w:rPr>
      </w:pPr>
      <w:r>
        <w:rPr>
          <w:lang w:val="en-US"/>
        </w:rPr>
        <w:t>11. Geographical coverage</w:t>
      </w:r>
    </w:p>
    <w:p>
      <w:pPr>
        <w:pStyle w:val="Normal"/>
        <w:rPr>
          <w:lang w:val="en-US"/>
        </w:rPr>
      </w:pPr>
      <w:r>
        <w:rPr>
          <w:lang w:val="en-US"/>
        </w:rPr>
        <w:t>Global</w:t>
      </w:r>
    </w:p>
    <w:p>
      <w:pPr>
        <w:pStyle w:val="Normal"/>
        <w:rPr>
          <w:lang w:val="en-US"/>
        </w:rPr>
      </w:pPr>
      <w:r>
        <w:rPr>
          <w:lang w:val="en-US"/>
        </w:rPr>
      </w:r>
    </w:p>
    <w:p>
      <w:pPr>
        <w:pStyle w:val="Normal"/>
        <w:rPr>
          <w:lang w:val="en-US"/>
        </w:rPr>
      </w:pPr>
      <w:r>
        <w:rPr>
          <w:lang w:val="en-US"/>
        </w:rPr>
        <w:t>12. Methodologies used for data collection and processing</w:t>
      </w:r>
    </w:p>
    <w:p>
      <w:pPr>
        <w:pStyle w:val="Normal"/>
        <w:rPr>
          <w:lang w:val="en-US"/>
        </w:rPr>
      </w:pPr>
      <w:r>
        <w:rPr>
          <w:lang w:val="en-US"/>
        </w:rPr>
        <w:t>The composite measure is a linear combination of the 9 variables created through a latent variable model. In the Bayesian implementation of the latent variable model, missing data is handled by the model. This provides estimates even for countries for which there is very little information. The uncertainty of these estimates is reflected in the confidence intervals, but be careful not to over-interpret the mean or median values for these countries.</w:t>
      </w:r>
    </w:p>
    <w:p>
      <w:pPr>
        <w:pStyle w:val="Normal"/>
        <w:rPr>
          <w:lang w:val="en-US"/>
        </w:rPr>
      </w:pPr>
      <w:r>
        <w:rPr>
          <w:lang w:val="en-US"/>
        </w:rPr>
      </w:r>
    </w:p>
    <w:p>
      <w:pPr>
        <w:pStyle w:val="Normal"/>
        <w:rPr>
          <w:lang w:val="en-US"/>
        </w:rPr>
      </w:pPr>
      <w:r>
        <w:rPr>
          <w:lang w:val="en-US"/>
        </w:rPr>
        <w:t>13. Data quality</w:t>
      </w:r>
    </w:p>
    <w:p>
      <w:pPr>
        <w:pStyle w:val="Normal"/>
        <w:rPr>
          <w:lang w:val="en-US"/>
        </w:rPr>
      </w:pPr>
      <w:r>
        <w:rPr>
          <w:lang w:val="en-US"/>
        </w:rPr>
        <w:t>Depends on the underlying data; beyond that the quality should be reflected in the confidence intervals. Note that the assumptions of the latent variable model should also hold. See the background paper (Rijpma 2016) as well as the material this measure was based on (esp. Jackman 2009 and Høyland et al. 2012).</w:t>
      </w:r>
    </w:p>
    <w:p>
      <w:pPr>
        <w:pStyle w:val="Normal"/>
        <w:rPr>
          <w:lang w:val="en-US"/>
        </w:rPr>
      </w:pPr>
      <w:r>
        <w:rPr>
          <w:lang w:val="en-US"/>
        </w:rPr>
      </w:r>
    </w:p>
    <w:p>
      <w:pPr>
        <w:pStyle w:val="Normal"/>
        <w:rPr>
          <w:lang w:val="en-US"/>
        </w:rPr>
      </w:pPr>
      <w:r>
        <w:rPr>
          <w:lang w:val="en-US"/>
        </w:rPr>
        <w:t xml:space="preserve">Høyland, Bjørn, Karl Moene, and Fredrik Willumsen. 2012. “The Tyranny of International Index Rankings.” </w:t>
      </w:r>
      <w:r>
        <w:rPr>
          <w:i/>
          <w:iCs/>
          <w:lang w:val="en-US"/>
        </w:rPr>
        <w:t>Journal of Development Economics</w:t>
      </w:r>
      <w:r>
        <w:rPr>
          <w:lang w:val="en-US"/>
        </w:rPr>
        <w:t xml:space="preserve"> 97 (1): 1–14. doi:10.1016/j.jdeveco.2011.01.007.</w:t>
      </w:r>
    </w:p>
    <w:p>
      <w:pPr>
        <w:pStyle w:val="Normal"/>
        <w:rPr>
          <w:lang w:val="en-US"/>
        </w:rPr>
      </w:pPr>
      <w:r>
        <w:rPr>
          <w:lang w:val="en-US"/>
        </w:rPr>
        <w:t xml:space="preserve">Jackman, Simon. 2009. </w:t>
      </w:r>
      <w:r>
        <w:rPr>
          <w:i/>
          <w:iCs/>
          <w:lang w:val="en-US"/>
        </w:rPr>
        <w:t>Bayesian Analysis for the Social Sciences</w:t>
      </w:r>
      <w:r>
        <w:rPr>
          <w:lang w:val="en-US"/>
        </w:rPr>
        <w:t>. Wiley Series in Probability and Statistics. Chichester: Wiley.</w:t>
      </w:r>
    </w:p>
    <w:p>
      <w:pPr>
        <w:pStyle w:val="Normal"/>
        <w:rPr>
          <w:lang w:val="en-US"/>
        </w:rPr>
      </w:pPr>
      <w:r>
        <w:rPr>
          <w:lang w:val="en-US"/>
        </w:rPr>
        <w:t>Rijpma, Auke. 2016. “What Can’t Money Buy? Wellbeing and GDP since 1820.” Working Paper 78. Utrecht University, Centre for Global Economic History. https://ideas.repec.org/p/ucg/wpaper/0078.html.</w:t>
      </w:r>
    </w:p>
    <w:p>
      <w:pPr>
        <w:pStyle w:val="Normal"/>
        <w:rPr>
          <w:lang w:val="en-US"/>
        </w:rPr>
      </w:pPr>
      <w:r>
        <w:rPr>
          <w:lang w:val="en-US"/>
        </w:rPr>
      </w:r>
      <w:bookmarkStart w:id="0" w:name="_GoBack"/>
      <w:bookmarkStart w:id="1" w:name="_GoBack"/>
      <w:bookmarkEnd w:id="1"/>
    </w:p>
    <w:p>
      <w:pPr>
        <w:pStyle w:val="Normal"/>
        <w:rPr/>
      </w:pPr>
      <w:r>
        <w:rPr/>
      </w:r>
    </w:p>
    <w:p>
      <w:pPr>
        <w:pStyle w:val="Normal"/>
        <w:rPr>
          <w:lang w:val="en-US"/>
        </w:rPr>
      </w:pPr>
      <w:r>
        <w:rPr>
          <w:lang w:val="en-US"/>
        </w:rPr>
        <w:t>14. Period of collection</w:t>
      </w:r>
    </w:p>
    <w:p>
      <w:pPr>
        <w:pStyle w:val="Normal"/>
        <w:rPr>
          <w:lang w:val="en-US"/>
        </w:rPr>
      </w:pPr>
      <w:r>
        <w:rPr>
          <w:lang w:val="en-US"/>
        </w:rPr>
        <w:t>2013–4</w:t>
      </w:r>
    </w:p>
    <w:p>
      <w:pPr>
        <w:pStyle w:val="Normal"/>
        <w:rPr>
          <w:lang w:val="en-US"/>
        </w:rPr>
      </w:pPr>
      <w:r>
        <w:rPr>
          <w:lang w:val="en-US"/>
        </w:rPr>
      </w:r>
    </w:p>
    <w:p>
      <w:pPr>
        <w:pStyle w:val="Normal"/>
        <w:rPr/>
      </w:pPr>
      <w:r>
        <w:rPr/>
        <w:t>15. Data collectors</w:t>
      </w:r>
    </w:p>
    <w:p>
      <w:pPr>
        <w:pStyle w:val="Normal"/>
        <w:rPr>
          <w:lang w:val="en-US"/>
        </w:rPr>
      </w:pPr>
      <w:r>
        <w:rPr>
          <w:lang w:val="en-US"/>
        </w:rPr>
        <w:t>Auke Rijpma, Clio-Infra team.</w:t>
      </w:r>
    </w:p>
    <w:p>
      <w:pPr>
        <w:pStyle w:val="Normal"/>
        <w:rPr/>
      </w:pPr>
      <w:r>
        <w:rPr/>
      </w:r>
    </w:p>
    <w:p>
      <w:pPr>
        <w:pStyle w:val="Normal"/>
        <w:rPr>
          <w:lang w:val="en-US"/>
        </w:rPr>
      </w:pPr>
      <w:r>
        <w:rPr>
          <w:lang w:val="en-US"/>
        </w:rPr>
        <w:t>16. Sources</w:t>
      </w:r>
    </w:p>
    <w:p>
      <w:pPr>
        <w:pStyle w:val="Normal"/>
        <w:rPr>
          <w:lang w:val="en-US"/>
        </w:rPr>
      </w:pPr>
      <w:r>
        <w:rPr>
          <w:lang w:val="en-US"/>
        </w:rPr>
        <w:t>See original Clio-Infra variables.</w:t>
      </w:r>
    </w:p>
    <w:p>
      <w:pPr>
        <w:pStyle w:val="Normal"/>
        <w:rPr>
          <w:lang w:val="en-US"/>
        </w:rPr>
      </w:pPr>
      <w:r>
        <w:rPr>
          <w:lang w:val="en-US"/>
        </w:rPr>
      </w:r>
    </w:p>
    <w:p>
      <w:pPr>
        <w:pStyle w:val="Normal"/>
        <w:rPr>
          <w:lang w:val="en-US"/>
        </w:rPr>
      </w:pPr>
      <w:r>
        <w:rPr>
          <w:lang w:val="en-US"/>
        </w:rPr>
        <w:t>17. Text</w:t>
      </w:r>
    </w:p>
    <w:p>
      <w:pPr>
        <w:pStyle w:val="Normal"/>
        <w:rPr>
          <w:lang w:val="en-US"/>
        </w:rPr>
      </w:pPr>
      <w:r>
        <w:rPr>
          <w:lang w:val="en-US"/>
        </w:rPr>
        <w:t>-</w:t>
      </w:r>
    </w:p>
    <w:p>
      <w:pPr>
        <w:pStyle w:val="Normal"/>
        <w:rPr/>
      </w:pPr>
      <w:r>
        <w:rPr/>
      </w:r>
    </w:p>
    <w:p>
      <w:pPr>
        <w:pStyle w:val="Normal"/>
        <w:rPr/>
      </w:pPr>
      <w:r>
        <w:rPr/>
        <w:t>18. Citation (that should be used for this dataset)</w:t>
      </w:r>
    </w:p>
    <w:p>
      <w:pPr>
        <w:pStyle w:val="Normal"/>
        <w:rPr/>
      </w:pPr>
      <w:r>
        <w:rPr>
          <w:lang w:val="en-US"/>
        </w:rPr>
        <w:t xml:space="preserve">Rijpma, Auke. 2014. “A Composite View of Well-Being since 1820.” In </w:t>
      </w:r>
      <w:r>
        <w:rPr>
          <w:i/>
          <w:iCs/>
          <w:lang w:val="en-US"/>
        </w:rPr>
        <w:t>How Was Life? Global Well-Being since 1820</w:t>
      </w:r>
      <w:r>
        <w:rPr>
          <w:lang w:val="en-US"/>
        </w:rPr>
        <w:t>, edited by Jan Luiten Van Zanden, Joerg Baten, Marco Mira D’Ercole, Auke Rijpma, Conal Smith, and Marcel Timmer. Paris: OECD Publishing. dx.doi.org/10.1787/9789264214262-17-en.</w:t>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p>
  <w:p>
    <w:pPr>
      <w:pStyle w:val="Footer"/>
      <w:rPr/>
    </w:pPr>
    <w:r>
      <w:rPr/>
    </w:r>
  </w:p>
</w:ftr>
</file>

<file path=word/settings.xml><?xml version="1.0" encoding="utf-8"?>
<w:settings xmlns:w="http://schemas.openxmlformats.org/wordprocessingml/2006/main">
  <w:zoom w:percent="169"/>
  <w:defaultTabStop w:val="708"/>
  <w:autoHyphenation w:val="false"/>
  <w:compat>
    <w:compatSetting w:name="compatibilityMode" w:uri="http://schemas.microsoft.com/office/word" w:val="12"/>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 w:val="22"/>
        <w:szCs w:val="22"/>
        <w:lang w:val="nl-NL"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a56c1"/>
    <w:pPr>
      <w:widowControl/>
      <w:suppressAutoHyphens w:val="true"/>
      <w:bidi w:val="0"/>
      <w:jc w:val="left"/>
    </w:pPr>
    <w:rPr>
      <w:rFonts w:ascii="Calibri" w:hAnsi="Calibri" w:eastAsia="Droid Sans Fallback" w:cs="Times New Roman"/>
      <w:color w:val="00000A"/>
      <w:kern w:val="0"/>
      <w:sz w:val="22"/>
      <w:szCs w:val="22"/>
      <w:lang w:val="nl-NL" w:eastAsia="en-US" w:bidi="ar-SA"/>
    </w:rPr>
  </w:style>
  <w:style w:type="paragraph" w:styleId="Heading1">
    <w:name w:val="Heading 1"/>
    <w:basedOn w:val="Normal"/>
    <w:next w:val="Normal"/>
    <w:link w:val="Heading1Char"/>
    <w:qFormat/>
    <w:rsid w:val="00a9759a"/>
    <w:pPr>
      <w:keepNext w:val="true"/>
      <w:spacing w:lineRule="auto" w:line="360"/>
      <w:ind w:firstLine="709"/>
      <w:outlineLvl w:val="0"/>
    </w:pPr>
    <w:rPr>
      <w:rFonts w:ascii="Arial" w:hAnsi="Arial" w:eastAsia="Calibri" w:cs="Arial"/>
      <w:b/>
      <w:sz w:val="20"/>
      <w:szCs w:val="20"/>
      <w:lang w:val="en-GB"/>
    </w:rPr>
  </w:style>
  <w:style w:type="character" w:styleId="DefaultParagraphFont" w:default="1">
    <w:name w:val="Default Paragraph Font"/>
    <w:uiPriority w:val="1"/>
    <w:unhideWhenUsed/>
    <w:qFormat/>
    <w:rPr/>
  </w:style>
  <w:style w:type="character" w:styleId="InternetLink" w:customStyle="1">
    <w:name w:val="Internet Link"/>
    <w:basedOn w:val="DefaultParagraphFont"/>
    <w:uiPriority w:val="99"/>
    <w:unhideWhenUsed/>
    <w:rsid w:val="00073ba9"/>
    <w:rPr>
      <w:color w:val="0000FF"/>
      <w:u w:val="single"/>
    </w:rPr>
  </w:style>
  <w:style w:type="character" w:styleId="Annotationreference">
    <w:name w:val="annotation reference"/>
    <w:basedOn w:val="DefaultParagraphFont"/>
    <w:uiPriority w:val="99"/>
    <w:semiHidden/>
    <w:unhideWhenUsed/>
    <w:qFormat/>
    <w:rsid w:val="00c04629"/>
    <w:rPr>
      <w:sz w:val="16"/>
      <w:szCs w:val="16"/>
    </w:rPr>
  </w:style>
  <w:style w:type="character" w:styleId="CommentTextChar" w:customStyle="1">
    <w:name w:val="Comment Text Char"/>
    <w:basedOn w:val="DefaultParagraphFont"/>
    <w:link w:val="CommentText"/>
    <w:uiPriority w:val="99"/>
    <w:semiHidden/>
    <w:qFormat/>
    <w:rsid w:val="00c04629"/>
    <w:rPr>
      <w:sz w:val="20"/>
      <w:szCs w:val="20"/>
    </w:rPr>
  </w:style>
  <w:style w:type="character" w:styleId="CommentSubjectChar" w:customStyle="1">
    <w:name w:val="Comment Subject Char"/>
    <w:basedOn w:val="CommentTextChar"/>
    <w:link w:val="CommentSubject"/>
    <w:uiPriority w:val="99"/>
    <w:semiHidden/>
    <w:qFormat/>
    <w:rsid w:val="00c04629"/>
    <w:rPr>
      <w:b/>
      <w:bCs/>
      <w:sz w:val="20"/>
      <w:szCs w:val="20"/>
    </w:rPr>
  </w:style>
  <w:style w:type="character" w:styleId="BalloonTextChar" w:customStyle="1">
    <w:name w:val="Balloon Text Char"/>
    <w:basedOn w:val="DefaultParagraphFont"/>
    <w:link w:val="BalloonText"/>
    <w:uiPriority w:val="99"/>
    <w:semiHidden/>
    <w:qFormat/>
    <w:rsid w:val="00c04629"/>
    <w:rPr>
      <w:rFonts w:ascii="Tahoma" w:hAnsi="Tahoma" w:cs="Tahoma"/>
      <w:sz w:val="16"/>
      <w:szCs w:val="16"/>
    </w:rPr>
  </w:style>
  <w:style w:type="character" w:styleId="FollowedHyperlink">
    <w:name w:val="FollowedHyperlink"/>
    <w:basedOn w:val="DefaultParagraphFont"/>
    <w:uiPriority w:val="99"/>
    <w:semiHidden/>
    <w:unhideWhenUsed/>
    <w:qFormat/>
    <w:rsid w:val="008274e7"/>
    <w:rPr>
      <w:color w:val="800080"/>
      <w:u w:val="single"/>
    </w:rPr>
  </w:style>
  <w:style w:type="character" w:styleId="Fieldcontent" w:customStyle="1">
    <w:name w:val="field-content"/>
    <w:basedOn w:val="DefaultParagraphFont"/>
    <w:qFormat/>
    <w:rsid w:val="00804deb"/>
    <w:rPr/>
  </w:style>
  <w:style w:type="character" w:styleId="Strong">
    <w:name w:val="Strong"/>
    <w:basedOn w:val="DefaultParagraphFont"/>
    <w:qFormat/>
    <w:rsid w:val="00417558"/>
    <w:rPr>
      <w:b/>
      <w:bCs/>
    </w:rPr>
  </w:style>
  <w:style w:type="character" w:styleId="HeaderChar" w:customStyle="1">
    <w:name w:val="Header Char"/>
    <w:basedOn w:val="DefaultParagraphFont"/>
    <w:link w:val="Header"/>
    <w:uiPriority w:val="99"/>
    <w:semiHidden/>
    <w:qFormat/>
    <w:rsid w:val="00417558"/>
    <w:rPr/>
  </w:style>
  <w:style w:type="character" w:styleId="FooterChar" w:customStyle="1">
    <w:name w:val="Footer Char"/>
    <w:basedOn w:val="DefaultParagraphFont"/>
    <w:link w:val="Footer"/>
    <w:uiPriority w:val="99"/>
    <w:qFormat/>
    <w:rsid w:val="00417558"/>
    <w:rPr/>
  </w:style>
  <w:style w:type="character" w:styleId="Emphasis">
    <w:name w:val="Emphasis"/>
    <w:basedOn w:val="DefaultParagraphFont"/>
    <w:qFormat/>
    <w:rsid w:val="002c2f4c"/>
    <w:rPr>
      <w:i/>
      <w:iCs/>
    </w:rPr>
  </w:style>
  <w:style w:type="character" w:styleId="Heading1Char" w:customStyle="1">
    <w:name w:val="Heading 1 Char"/>
    <w:basedOn w:val="DefaultParagraphFont"/>
    <w:link w:val="Heading1"/>
    <w:qFormat/>
    <w:rsid w:val="00a9759a"/>
    <w:rPr>
      <w:rFonts w:ascii="Arial" w:hAnsi="Arial" w:eastAsia="Calibri" w:cs="Arial"/>
      <w:b/>
      <w:sz w:val="20"/>
      <w:szCs w:val="20"/>
      <w:lang w:val="en-GB"/>
    </w:rPr>
  </w:style>
  <w:style w:type="character" w:styleId="BodyTextIndentChar" w:customStyle="1">
    <w:name w:val="Body Text Indent Char"/>
    <w:basedOn w:val="DefaultParagraphFont"/>
    <w:link w:val="TextBodyIndent"/>
    <w:semiHidden/>
    <w:qFormat/>
    <w:rsid w:val="00a9759a"/>
    <w:rPr>
      <w:rFonts w:ascii="Arial" w:hAnsi="Arial" w:eastAsia="Calibri" w:cs="Arial"/>
      <w:sz w:val="20"/>
      <w:szCs w:val="20"/>
      <w:lang w:val="en-GB"/>
    </w:rPr>
  </w:style>
  <w:style w:type="character" w:styleId="BodyTextIndent2Char" w:customStyle="1">
    <w:name w:val="Body Text Indent 2 Char"/>
    <w:basedOn w:val="DefaultParagraphFont"/>
    <w:link w:val="BodyTextIndent2"/>
    <w:semiHidden/>
    <w:qFormat/>
    <w:rsid w:val="00a9759a"/>
    <w:rPr>
      <w:rFonts w:ascii="Arial" w:hAnsi="Arial" w:eastAsia="Calibri" w:cs="Arial"/>
      <w:sz w:val="24"/>
      <w:szCs w:val="20"/>
      <w:lang w:val="it-IT"/>
    </w:rPr>
  </w:style>
  <w:style w:type="character" w:styleId="BodyTextChar" w:customStyle="1">
    <w:name w:val="Body Text Char"/>
    <w:basedOn w:val="DefaultParagraphFont"/>
    <w:link w:val="TextBody"/>
    <w:uiPriority w:val="99"/>
    <w:semiHidden/>
    <w:qFormat/>
    <w:rsid w:val="00a9759a"/>
    <w:rPr>
      <w:rFonts w:ascii="Times New Roman" w:hAnsi="Times New Roman" w:eastAsia="Calibri" w:cs="Times New Roman"/>
      <w:sz w:val="24"/>
      <w:lang w:val="de-DE"/>
    </w:rPr>
  </w:style>
  <w:style w:type="character" w:styleId="BodyText2Char" w:customStyle="1">
    <w:name w:val="Body Text 2 Char"/>
    <w:basedOn w:val="DefaultParagraphFont"/>
    <w:link w:val="BodyText2"/>
    <w:uiPriority w:val="99"/>
    <w:semiHidden/>
    <w:qFormat/>
    <w:rsid w:val="00a9759a"/>
    <w:rPr>
      <w:rFonts w:ascii="Times New Roman" w:hAnsi="Times New Roman" w:eastAsia="Calibri" w:cs="Times New Roman"/>
      <w:sz w:val="24"/>
      <w:lang w:val="de-DE"/>
    </w:rPr>
  </w:style>
  <w:style w:type="character" w:styleId="FootnoteTextChar" w:customStyle="1">
    <w:name w:val="Footnote Text Char"/>
    <w:basedOn w:val="DefaultParagraphFont"/>
    <w:link w:val="FootnoteText"/>
    <w:semiHidden/>
    <w:qFormat/>
    <w:rsid w:val="00a9759a"/>
    <w:rPr>
      <w:rFonts w:ascii="Times New Roman" w:hAnsi="Times New Roman" w:eastAsia="Times New Roman" w:cs="Times New Roman"/>
      <w:sz w:val="20"/>
      <w:szCs w:val="20"/>
      <w:lang w:val="en-US"/>
    </w:rPr>
  </w:style>
  <w:style w:type="character" w:styleId="FootnoteCharacters">
    <w:name w:val="Footnote Characters"/>
    <w:semiHidden/>
    <w:unhideWhenUsed/>
    <w:qFormat/>
    <w:rsid w:val="00a9759a"/>
    <w:rPr>
      <w:vertAlign w:val="superscript"/>
    </w:rPr>
  </w:style>
  <w:style w:type="character" w:styleId="FootnoteAnchor" w:customStyle="1">
    <w:name w:val="Footnote Anchor"/>
    <w:rPr>
      <w:vertAlign w:val="superscript"/>
    </w:rPr>
  </w:style>
  <w:style w:type="character" w:styleId="Il" w:customStyle="1">
    <w:name w:val="il"/>
    <w:basedOn w:val="DefaultParagraphFont"/>
    <w:qFormat/>
    <w:rsid w:val="00a9759a"/>
    <w:rPr/>
  </w:style>
  <w:style w:type="character" w:styleId="Mediumfont1" w:customStyle="1">
    <w:name w:val="medium-font1"/>
    <w:qFormat/>
    <w:rsid w:val="00a9759a"/>
    <w:rPr>
      <w:sz w:val="19"/>
      <w:szCs w:val="19"/>
    </w:rPr>
  </w:style>
  <w:style w:type="character" w:styleId="ListLabel1" w:customStyle="1">
    <w:name w:val="ListLabel 1"/>
    <w:qFormat/>
    <w:rPr>
      <w:rFonts w:cs="Times New Roman"/>
    </w:rPr>
  </w:style>
  <w:style w:type="paragraph" w:styleId="Heading" w:customStyle="1">
    <w:name w:val="Heading"/>
    <w:basedOn w:val="Normal"/>
    <w:next w:val="TextBody"/>
    <w:qFormat/>
    <w:pPr>
      <w:keepNext w:val="true"/>
      <w:spacing w:before="240" w:after="120"/>
    </w:pPr>
    <w:rPr>
      <w:rFonts w:ascii="Liberation Sans" w:hAnsi="Liberation Sans" w:cs="FreeSans"/>
      <w:sz w:val="28"/>
      <w:szCs w:val="28"/>
    </w:rPr>
  </w:style>
  <w:style w:type="paragraph" w:styleId="TextBody" w:customStyle="1">
    <w:name w:val="Body Text"/>
    <w:basedOn w:val="Normal"/>
    <w:link w:val="BodyTextChar"/>
    <w:uiPriority w:val="99"/>
    <w:semiHidden/>
    <w:unhideWhenUsed/>
    <w:rsid w:val="00a9759a"/>
    <w:pPr>
      <w:spacing w:lineRule="auto" w:line="360" w:before="0" w:after="120"/>
      <w:ind w:firstLine="709"/>
    </w:pPr>
    <w:rPr>
      <w:rFonts w:ascii="Times New Roman" w:hAnsi="Times New Roman" w:eastAsia="Calibri"/>
      <w:sz w:val="24"/>
      <w:lang w:val="de-D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rsid w:val="00a9759a"/>
    <w:pPr>
      <w:spacing w:before="120" w:after="120"/>
    </w:pPr>
    <w:rPr>
      <w:rFonts w:ascii="Times New Roman" w:hAnsi="Times New Roman" w:eastAsia="Times New Roman"/>
      <w:b/>
      <w:bCs/>
      <w:color w:val="000000"/>
      <w:sz w:val="20"/>
      <w:szCs w:val="20"/>
      <w:lang w:val="de-DE" w:eastAsia="de-DE"/>
    </w:rPr>
  </w:style>
  <w:style w:type="paragraph" w:styleId="Default" w:customStyle="1">
    <w:name w:val="Default"/>
    <w:qFormat/>
    <w:rsid w:val="00e42e4f"/>
    <w:pPr>
      <w:widowControl/>
      <w:suppressAutoHyphens w:val="true"/>
      <w:bidi w:val="0"/>
      <w:jc w:val="left"/>
    </w:pPr>
    <w:rPr>
      <w:rFonts w:ascii="Verdana" w:hAnsi="Verdana" w:cs="Verdana" w:eastAsia="Droid Sans Fallback"/>
      <w:color w:val="000000"/>
      <w:kern w:val="0"/>
      <w:sz w:val="24"/>
      <w:szCs w:val="24"/>
      <w:lang w:val="en-US" w:eastAsia="en-US" w:bidi="ar-SA"/>
    </w:rPr>
  </w:style>
  <w:style w:type="paragraph" w:styleId="Annotationtext">
    <w:name w:val="annotation text"/>
    <w:basedOn w:val="Normal"/>
    <w:link w:val="CommentTextChar"/>
    <w:uiPriority w:val="99"/>
    <w:semiHidden/>
    <w:unhideWhenUsed/>
    <w:qFormat/>
    <w:rsid w:val="00c04629"/>
    <w:pPr/>
    <w:rPr>
      <w:sz w:val="20"/>
      <w:szCs w:val="20"/>
    </w:rPr>
  </w:style>
  <w:style w:type="paragraph" w:styleId="Annotationsubject">
    <w:name w:val="annotation subject"/>
    <w:basedOn w:val="Annotationtext"/>
    <w:link w:val="CommentSubjectChar"/>
    <w:uiPriority w:val="99"/>
    <w:semiHidden/>
    <w:unhideWhenUsed/>
    <w:qFormat/>
    <w:rsid w:val="00c04629"/>
    <w:pPr/>
    <w:rPr>
      <w:b/>
      <w:bCs/>
    </w:rPr>
  </w:style>
  <w:style w:type="paragraph" w:styleId="BalloonText">
    <w:name w:val="Balloon Text"/>
    <w:basedOn w:val="Normal"/>
    <w:link w:val="BalloonTextChar"/>
    <w:uiPriority w:val="99"/>
    <w:semiHidden/>
    <w:unhideWhenUsed/>
    <w:qFormat/>
    <w:rsid w:val="00c04629"/>
    <w:pPr/>
    <w:rPr>
      <w:rFonts w:ascii="Tahoma" w:hAnsi="Tahoma" w:cs="Tahoma"/>
      <w:sz w:val="16"/>
      <w:szCs w:val="16"/>
    </w:rPr>
  </w:style>
  <w:style w:type="paragraph" w:styleId="ListParagraph">
    <w:name w:val="List Paragraph"/>
    <w:basedOn w:val="Normal"/>
    <w:uiPriority w:val="34"/>
    <w:qFormat/>
    <w:rsid w:val="00417558"/>
    <w:pPr>
      <w:spacing w:before="0" w:after="0"/>
      <w:ind w:left="720" w:hanging="0"/>
      <w:contextualSpacing/>
    </w:pPr>
    <w:rPr/>
  </w:style>
  <w:style w:type="paragraph" w:styleId="Header">
    <w:name w:val="Header"/>
    <w:basedOn w:val="Normal"/>
    <w:link w:val="HeaderChar"/>
    <w:uiPriority w:val="99"/>
    <w:semiHidden/>
    <w:unhideWhenUsed/>
    <w:rsid w:val="00417558"/>
    <w:pPr>
      <w:tabs>
        <w:tab w:val="center" w:pos="4536" w:leader="none"/>
        <w:tab w:val="right" w:pos="9072" w:leader="none"/>
      </w:tabs>
    </w:pPr>
    <w:rPr/>
  </w:style>
  <w:style w:type="paragraph" w:styleId="Footer">
    <w:name w:val="Footer"/>
    <w:basedOn w:val="Normal"/>
    <w:link w:val="FooterChar"/>
    <w:unhideWhenUsed/>
    <w:rsid w:val="00417558"/>
    <w:pPr>
      <w:tabs>
        <w:tab w:val="center" w:pos="4536" w:leader="none"/>
        <w:tab w:val="right" w:pos="9072" w:leader="none"/>
      </w:tabs>
    </w:pPr>
    <w:rPr/>
  </w:style>
  <w:style w:type="paragraph" w:styleId="TextBodyIndent" w:customStyle="1">
    <w:name w:val="Body Text Indent"/>
    <w:basedOn w:val="Normal"/>
    <w:link w:val="BodyTextIndentChar"/>
    <w:semiHidden/>
    <w:rsid w:val="00a9759a"/>
    <w:pPr>
      <w:spacing w:lineRule="auto" w:line="360"/>
      <w:ind w:hanging="709"/>
    </w:pPr>
    <w:rPr>
      <w:rFonts w:ascii="Arial" w:hAnsi="Arial" w:eastAsia="Calibri" w:cs="Arial"/>
      <w:sz w:val="20"/>
      <w:szCs w:val="20"/>
      <w:lang w:val="en-GB"/>
    </w:rPr>
  </w:style>
  <w:style w:type="paragraph" w:styleId="BodyTextIndent2">
    <w:name w:val="Body Text Indent 2"/>
    <w:basedOn w:val="Normal"/>
    <w:link w:val="BodyTextIndent2Char"/>
    <w:semiHidden/>
    <w:qFormat/>
    <w:rsid w:val="00a9759a"/>
    <w:pPr>
      <w:spacing w:lineRule="auto" w:line="360"/>
      <w:ind w:hanging="709"/>
    </w:pPr>
    <w:rPr>
      <w:rFonts w:ascii="Arial" w:hAnsi="Arial" w:eastAsia="Calibri" w:cs="Arial"/>
      <w:sz w:val="24"/>
      <w:szCs w:val="20"/>
      <w:lang w:val="it-IT"/>
    </w:rPr>
  </w:style>
  <w:style w:type="paragraph" w:styleId="BodyText2">
    <w:name w:val="Body Text 2"/>
    <w:basedOn w:val="Normal"/>
    <w:link w:val="BodyText2Char"/>
    <w:uiPriority w:val="99"/>
    <w:semiHidden/>
    <w:unhideWhenUsed/>
    <w:qFormat/>
    <w:rsid w:val="00a9759a"/>
    <w:pPr>
      <w:spacing w:lineRule="auto" w:line="480" w:before="0" w:after="120"/>
      <w:ind w:firstLine="709"/>
    </w:pPr>
    <w:rPr>
      <w:rFonts w:ascii="Times New Roman" w:hAnsi="Times New Roman" w:eastAsia="Calibri"/>
      <w:sz w:val="24"/>
      <w:lang w:val="de-DE"/>
    </w:rPr>
  </w:style>
  <w:style w:type="paragraph" w:styleId="Footnote" w:customStyle="1">
    <w:name w:val="Footnote Text"/>
    <w:basedOn w:val="Normal"/>
    <w:pPr/>
    <w:rPr/>
  </w:style>
  <w:style w:type="paragraph" w:styleId="TextkrperEinzug21" w:customStyle="1">
    <w:name w:val="Textkörper-Einzug 21"/>
    <w:basedOn w:val="Normal"/>
    <w:qFormat/>
    <w:rsid w:val="00a9759a"/>
    <w:pPr>
      <w:widowControl w:val="false"/>
      <w:spacing w:lineRule="auto" w:line="360"/>
      <w:ind w:firstLine="709"/>
    </w:pPr>
    <w:rPr>
      <w:rFonts w:ascii="Times New Roman" w:hAnsi="Times New Roman" w:eastAsia="Arial"/>
      <w:sz w:val="24"/>
      <w:szCs w:val="24"/>
      <w:lang w:val="en-US" w:eastAsia="zh-CN"/>
    </w:rPr>
  </w:style>
  <w:style w:type="paragraph" w:styleId="Lijstalinea1" w:customStyle="1">
    <w:name w:val="Lijstalinea1"/>
    <w:basedOn w:val="Normal"/>
    <w:qFormat/>
    <w:rsid w:val="00a9759a"/>
    <w:pPr>
      <w:spacing w:lineRule="auto" w:line="276" w:before="0" w:after="200"/>
      <w:ind w:left="720" w:hanging="0"/>
      <w:contextualSpacing/>
    </w:pPr>
    <w:rPr>
      <w:rFonts w:eastAsia="Calibri"/>
      <w:lang w:val="hu-HU"/>
    </w:rPr>
  </w:style>
  <w:style w:type="paragraph" w:styleId="NormalWeb">
    <w:name w:val="Normal (Web)"/>
    <w:basedOn w:val="Normal"/>
    <w:semiHidden/>
    <w:qFormat/>
    <w:rsid w:val="00a9759a"/>
    <w:pPr>
      <w:spacing w:before="0" w:after="280"/>
    </w:pPr>
    <w:rPr>
      <w:rFonts w:ascii="Times New Roman" w:hAnsi="Times New Roman" w:eastAsia="SimSun"/>
      <w:sz w:val="24"/>
      <w:szCs w:val="24"/>
      <w:lang w:val="en-US"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LibreOffice/6.0.7.3$Linux_X86_64 LibreOffice_project/00m0$Build-3</Application>
  <Pages>2</Pages>
  <Words>371</Words>
  <Characters>2153</Characters>
  <CharactersWithSpaces>2479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2014-07-25T05:00:00Z</dcterms:created>
  <dc:creator>IISG-User</dc:creator>
  <dc:description/>
  <dc:language>en-US</dc:language>
  <cp:lastModifiedBy>Michail Moatsos</cp:lastModifiedBy>
  <cp:lastPrinted>2012-04-10T10:31:00Z</cp:lastPrinted>
  <dcterms:modified xsi:type="dcterms:W3CDTF">2019-06-25T15:14:01Z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