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Working Paper CLIO-INFRA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1. Title of the dataset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Global Hunger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2. Author(s)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Michail Moatsos</w:t>
      </w:r>
      <w:r>
        <w:rPr>
          <w:lang w:val="en-US"/>
        </w:rPr>
        <w:t>]]]]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3. Production date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27 May 2024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 Version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1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5. Variable group(s)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>Demography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6. Variable(s)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Hunger rate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7a. Unit of analysis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Country</w:t>
      </w:r>
      <w:r>
        <w:rPr>
          <w:lang w:val="en-US"/>
        </w:rPr>
        <w:t>]]]]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7b. Unit of measurement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Percentage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8. Keywords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Global hunger, hunger rate, FAO hunger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9. Abstract (ca. 200 words)</w:t>
      </w:r>
    </w:p>
    <w:p>
      <w:pPr>
        <w:pStyle w:val="Normal"/>
        <w:ind w:start="0" w:end="0" w:hanging="0"/>
        <w:rPr>
          <w:lang w:val="en-US"/>
        </w:rPr>
      </w:pPr>
      <w:r>
        <w:rPr>
          <w:lang w:val="en-US"/>
        </w:rPr>
        <w:t>[[[[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The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>hunger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 rate </w:t>
      </w:r>
      <w:r>
        <w:rPr>
          <w:rFonts w:eastAsia="Droid Sans Fallback" w:cs=""/>
          <w:color w:val="00000A"/>
          <w:kern w:val="0"/>
          <w:sz w:val="22"/>
          <w:szCs w:val="22"/>
          <w:lang w:val="en-US" w:eastAsia="en-US" w:bidi="ar-SA"/>
        </w:rPr>
        <w:t xml:space="preserve">represents the share of the people in a country below a </w:t>
      </w:r>
      <w:r>
        <w:rPr>
          <w:rFonts w:eastAsia="Droid Sans Fallback" w:cs=""/>
          <w:color w:val="00000A"/>
          <w:kern w:val="0"/>
          <w:sz w:val="22"/>
          <w:szCs w:val="22"/>
          <w:lang w:val="en-US" w:eastAsia="en-US" w:bidi="ar-SA"/>
        </w:rPr>
        <w:t>fraction of a cost of basic needs</w:t>
      </w:r>
      <w:r>
        <w:rPr>
          <w:rFonts w:eastAsia="Droid Sans Fallback" w:cs=""/>
          <w:color w:val="00000A"/>
          <w:kern w:val="0"/>
          <w:sz w:val="22"/>
          <w:szCs w:val="22"/>
          <w:lang w:val="en-US" w:eastAsia="en-US" w:bidi="ar-SA"/>
        </w:rPr>
        <w:t xml:space="preserve"> poverty line. </w:t>
      </w:r>
      <w:r>
        <w:rPr>
          <w:rFonts w:eastAsia="Droid Sans Fallback" w:cs=""/>
          <w:color w:val="00000A"/>
          <w:kern w:val="0"/>
          <w:sz w:val="22"/>
          <w:szCs w:val="22"/>
          <w:lang w:val="en-US" w:eastAsia="en-US" w:bidi="ar-SA"/>
        </w:rPr>
        <w:t>The fraction used by FAO is 52%, and I use that value for 2018. For years before and up to 1820 I linearly interpolate using a 80% value for 1820</w:t>
      </w:r>
      <w:r>
        <w:rPr>
          <w:rFonts w:eastAsia="Droid Sans Fallback" w:cs=""/>
          <w:color w:val="00000A"/>
          <w:kern w:val="0"/>
          <w:sz w:val="22"/>
          <w:szCs w:val="22"/>
          <w:lang w:val="en-US" w:eastAsia="en-US" w:bidi="ar-SA"/>
        </w:rPr>
        <w:t xml:space="preserve">. </w:t>
      </w:r>
      <w:r>
        <w:rPr>
          <w:rFonts w:eastAsia="Droid Sans Fallback" w:cs=""/>
          <w:color w:val="00000A"/>
          <w:kern w:val="0"/>
          <w:sz w:val="22"/>
          <w:szCs w:val="22"/>
          <w:lang w:val="en-US" w:eastAsia="en-US" w:bidi="ar-SA"/>
        </w:rPr>
        <w:t xml:space="preserve">The dynamic caloric requirement that is used to estimate the food component follows the FAO guidelines, and it is estimated based on height data from Clio Infra, and age-gender population distributions from UN and Mitchell. The protein content is 0.83 gr per kg of body weight. </w:t>
      </w:r>
      <w:r>
        <w:rPr>
          <w:rFonts w:eastAsia="Droid Sans Fallback" w:cs=""/>
          <w:color w:val="00000A"/>
          <w:kern w:val="0"/>
          <w:sz w:val="22"/>
          <w:szCs w:val="22"/>
          <w:lang w:val="en-US" w:eastAsia="en-US" w:bidi="ar-SA"/>
        </w:rPr>
        <w:t>The estimates cover the period 1820-2018 (yearly). It is expressed as a share, from 0 to 1.</w:t>
      </w:r>
      <w:r>
        <w:rPr>
          <w:lang w:val="en-US"/>
        </w:rPr>
        <w:t>]]]]</w:t>
      </w:r>
    </w:p>
    <w:p>
      <w:pPr>
        <w:pStyle w:val="Normal"/>
        <w:ind w:start="0" w:end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10. Time period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1820-2018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11. Geographical coverage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Global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12. Methodologies used for data collection and processing</w:t>
      </w:r>
    </w:p>
    <w:p>
      <w:pPr>
        <w:pStyle w:val="Normal"/>
        <w:ind w:start="0" w:end="0" w:hanging="0"/>
        <w:rPr>
          <w:lang w:val="en-US"/>
        </w:rPr>
      </w:pPr>
      <w:r>
        <w:rPr>
          <w:lang w:val="en-US"/>
        </w:rPr>
        <w:t>[[[[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Annual estimates. See the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parent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paper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(on poverty)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>for details at https://www.oecd-ilibrary.org/sites/3d96efc5-en/1/3/9/index.html?itemId=/content/publication/3d96efc5-en&amp;_csp_=2c2e680562193998e9d20ed6a45a9242&amp;itemIGO=oecd&amp;itemContentType=book</w:t>
      </w:r>
      <w:r>
        <w:rPr>
          <w:lang w:val="en-US"/>
        </w:rPr>
        <w:t>]]]]</w:t>
      </w:r>
    </w:p>
    <w:p>
      <w:pPr>
        <w:pStyle w:val="Normal"/>
        <w:ind w:start="0" w:end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13. Data quality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See table 9.1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at https://www.oecd-ilibrary.org/sites/3d96efc5-en/1/3/9/index.html?itemId=/content/publication/3d96efc5-en&amp;_csp_=2c2e680562193998e9d20ed6a45a9242&amp;itemIGO=oecd&amp;itemContentType=book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>and the section on data quality of the paper for the details on data quality.</w:t>
      </w:r>
      <w:r>
        <w:rPr>
          <w:lang w:val="en-US"/>
        </w:rPr>
        <w:t>]]]]]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14. Period of collection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2017-2020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15. Data collectors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Michail Moatsos</w:t>
      </w:r>
      <w:r>
        <w:rPr>
          <w:lang w:val="en-US"/>
        </w:rPr>
        <w:t>]]]]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16. Sources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See the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parent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paper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(on global poverty)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>for details at https://www.oecd-ilibrary.org/sites/3d96efc5-en/1/3/9/index.html?itemId=/content/publication/3d96efc5-en&amp;_csp_=2c2e680562193998e9d20ed6a45a9242&amp;itemIGO=oecd&amp;itemContentType=book</w:t>
      </w:r>
      <w:r>
        <w:rPr>
          <w:lang w:val="en-US"/>
        </w:rPr>
        <w:t>]]]]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17. Text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Full text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 xml:space="preserve">of the parent paper (on global poverty) is </w:t>
      </w:r>
      <w:r>
        <w:rPr>
          <w:rFonts w:eastAsia="Droid Sans Fallback" w:cs=""/>
          <w:color w:val="00000A"/>
          <w:sz w:val="22"/>
          <w:szCs w:val="22"/>
          <w:lang w:val="en-US" w:eastAsia="en-US" w:bidi="ar-SA"/>
        </w:rPr>
        <w:t>available at https://www.oecd-ilibrary.org/sites/3d96efc5-en/1/3/9/index.html?itemId=/content/publication/3d96efc5-en&amp;_csp_=2c2e680562193998e9d20ed6a45a9242&amp;itemIGO=oecd&amp;itemContentType=book</w:t>
      </w:r>
      <w:r>
        <w:rPr>
          <w:lang w:val="en-US"/>
        </w:rPr>
        <w:t>]]]]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Citation (that should be used for this dataset)</w:t>
      </w:r>
    </w:p>
    <w:p>
      <w:pPr>
        <w:pStyle w:val="Normal"/>
        <w:rPr>
          <w:lang w:val="en-US"/>
        </w:rPr>
      </w:pPr>
      <w:r>
        <w:rPr>
          <w:lang w:val="en-US"/>
        </w:rPr>
        <w:t>[[[[</w:t>
      </w:r>
      <w:r>
        <w:rPr>
          <w:lang w:val="en-US"/>
        </w:rPr>
        <w:t>Moatsos, M. (2024). Global Hunger Rates. Clio Infra long run data repository.</w:t>
      </w:r>
      <w:bookmarkStart w:id="0" w:name="__DdeLink__24_677095822"/>
      <w:r>
        <w:rPr>
          <w:lang w:val="en-US"/>
        </w:rPr>
        <w:t>]</w:t>
      </w:r>
      <w:bookmarkEnd w:id="0"/>
      <w:r>
        <w:rPr>
          <w:lang w:val="en-US"/>
        </w:rPr>
        <w:t>]]]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56c1"/>
    <w:pPr>
      <w:widowControl/>
      <w:suppressAutoHyphens w:val="true"/>
      <w:bidi w:val="0"/>
      <w:spacing w:before="0" w:after="0"/>
      <w:jc w:val="start"/>
    </w:pPr>
    <w:rPr>
      <w:rFonts w:ascii="Calibri" w:hAnsi="Calibri" w:eastAsia="Droid Sans Fallback" w:cs="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9759a"/>
    <w:pPr>
      <w:keepNext w:val="true"/>
      <w:spacing w:lineRule="auto" w:line="360"/>
      <w:ind w:start="0" w:end="0" w:firstLine="709"/>
      <w:outlineLvl w:val="0"/>
    </w:pPr>
    <w:rPr>
      <w:rFonts w:ascii="Arial" w:hAnsi="Arial" w:eastAsia="Calibri" w:cs="Arial"/>
      <w:b/>
      <w:sz w:val="20"/>
      <w:szCs w:val="20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73ba9"/>
    <w:rPr>
      <w:color w:val="0000FF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0462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c04629"/>
    <w:rPr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c0462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4629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8274e7"/>
    <w:rPr>
      <w:color w:val="800080"/>
      <w:u w:val="single"/>
    </w:rPr>
  </w:style>
  <w:style w:type="character" w:styleId="Fieldcontent" w:customStyle="1">
    <w:name w:val="field-content"/>
    <w:basedOn w:val="DefaultParagraphFont"/>
    <w:qFormat/>
    <w:rsid w:val="00804deb"/>
    <w:rPr/>
  </w:style>
  <w:style w:type="character" w:styleId="Strong">
    <w:name w:val="Strong"/>
    <w:basedOn w:val="DefaultParagraphFont"/>
    <w:qFormat/>
    <w:rsid w:val="00417558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17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7558"/>
    <w:rPr/>
  </w:style>
  <w:style w:type="character" w:styleId="Emphasis">
    <w:name w:val="Emphasis"/>
    <w:basedOn w:val="DefaultParagraphFont"/>
    <w:qFormat/>
    <w:rsid w:val="002c2f4c"/>
    <w:rPr>
      <w:i/>
      <w:iCs/>
    </w:rPr>
  </w:style>
  <w:style w:type="character" w:styleId="Heading1Char" w:customStyle="1">
    <w:name w:val="Heading 1 Char"/>
    <w:basedOn w:val="DefaultParagraphFont"/>
    <w:link w:val="Heading1"/>
    <w:qFormat/>
    <w:rsid w:val="00a9759a"/>
    <w:rPr>
      <w:rFonts w:ascii="Arial" w:hAnsi="Arial" w:eastAsia="Calibri" w:cs="Arial"/>
      <w:b/>
      <w:sz w:val="20"/>
      <w:szCs w:val="20"/>
      <w:lang w:val="en-GB"/>
    </w:rPr>
  </w:style>
  <w:style w:type="character" w:styleId="BodyTextIndentChar" w:customStyle="1">
    <w:name w:val="Body Text Indent Char"/>
    <w:basedOn w:val="DefaultParagraphFont"/>
    <w:semiHidden/>
    <w:qFormat/>
    <w:rsid w:val="00a9759a"/>
    <w:rPr>
      <w:rFonts w:ascii="Arial" w:hAnsi="Arial" w:eastAsia="Calibri" w:cs="Arial"/>
      <w:sz w:val="20"/>
      <w:szCs w:val="20"/>
      <w:lang w:val="en-GB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a9759a"/>
    <w:rPr>
      <w:rFonts w:ascii="Arial" w:hAnsi="Arial" w:eastAsia="Calibri" w:cs="Arial"/>
      <w:sz w:val="24"/>
      <w:szCs w:val="20"/>
      <w:lang w:val="it-IT"/>
    </w:rPr>
  </w:style>
  <w:style w:type="character" w:styleId="BodyTextChar" w:customStyle="1">
    <w:name w:val="Body Text Char"/>
    <w:basedOn w:val="DefaultParagraphFont"/>
    <w:uiPriority w:val="99"/>
    <w:semiHidden/>
    <w:qFormat/>
    <w:rsid w:val="00a9759a"/>
    <w:rPr>
      <w:rFonts w:ascii="Times New Roman" w:hAnsi="Times New Roman" w:eastAsia="Calibri" w:cs="Times New Roman"/>
      <w:sz w:val="24"/>
      <w:lang w:val="de-DE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a9759a"/>
    <w:rPr>
      <w:rFonts w:ascii="Times New Roman" w:hAnsi="Times New Roman" w:eastAsia="Calibri" w:cs="Times New Roman"/>
      <w:sz w:val="24"/>
      <w:lang w:val="de-DE"/>
    </w:rPr>
  </w:style>
  <w:style w:type="character" w:styleId="FootnoteTextChar" w:customStyle="1">
    <w:name w:val="Footnote Text Char"/>
    <w:basedOn w:val="DefaultParagraphFont"/>
    <w:semiHidden/>
    <w:qFormat/>
    <w:rsid w:val="00a9759a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Characters">
    <w:name w:val="Footnote Characters"/>
    <w:semiHidden/>
    <w:unhideWhenUsed/>
    <w:qFormat/>
    <w:rsid w:val="00a9759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l" w:customStyle="1">
    <w:name w:val="il"/>
    <w:basedOn w:val="DefaultParagraphFont"/>
    <w:qFormat/>
    <w:rsid w:val="00a9759a"/>
    <w:rPr/>
  </w:style>
  <w:style w:type="character" w:styleId="Mediumfont1" w:customStyle="1">
    <w:name w:val="medium-font1"/>
    <w:qFormat/>
    <w:rsid w:val="00a9759a"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9759a"/>
    <w:pPr>
      <w:spacing w:lineRule="auto" w:line="360" w:before="0" w:after="120"/>
      <w:ind w:start="0" w:end="0" w:firstLine="709"/>
    </w:pPr>
    <w:rPr>
      <w:rFonts w:ascii="Times New Roman" w:hAnsi="Times New Roman" w:eastAsia="Calibri" w:cs="Times New Roman"/>
      <w:sz w:val="24"/>
      <w:lang w:val="de-DE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e42e4f"/>
    <w:pPr>
      <w:widowControl/>
      <w:suppressAutoHyphens w:val="true"/>
      <w:bidi w:val="0"/>
      <w:spacing w:before="0" w:after="0"/>
      <w:jc w:val="start"/>
    </w:pPr>
    <w:rPr>
      <w:rFonts w:ascii="Verdana" w:hAnsi="Verdana" w:eastAsia="Droid Sans Fallback" w:cs="Verdana"/>
      <w:color w:val="000000"/>
      <w:kern w:val="0"/>
      <w:sz w:val="24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04629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0462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462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558"/>
    <w:pPr>
      <w:spacing w:before="0" w:after="0"/>
      <w:ind w:start="720" w:end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4175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nhideWhenUsed/>
    <w:rsid w:val="004175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extBodyIndent">
    <w:name w:val="Body Text Indent"/>
    <w:basedOn w:val="Normal"/>
    <w:link w:val="BodyTextIndentChar"/>
    <w:semiHidden/>
    <w:rsid w:val="00a9759a"/>
    <w:pPr>
      <w:spacing w:lineRule="auto" w:line="360"/>
      <w:ind w:start="0" w:end="0" w:hanging="709"/>
    </w:pPr>
    <w:rPr>
      <w:rFonts w:ascii="Arial" w:hAnsi="Arial" w:eastAsia="Calibri" w:cs="Arial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semiHidden/>
    <w:qFormat/>
    <w:rsid w:val="00a9759a"/>
    <w:pPr>
      <w:spacing w:lineRule="auto" w:line="360"/>
      <w:ind w:start="0" w:end="0" w:hanging="709"/>
    </w:pPr>
    <w:rPr>
      <w:rFonts w:ascii="Arial" w:hAnsi="Arial" w:eastAsia="Calibri" w:cs="Arial"/>
      <w:sz w:val="24"/>
      <w:szCs w:val="20"/>
      <w:lang w:val="it-IT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9759a"/>
    <w:pPr>
      <w:spacing w:lineRule="auto" w:line="480" w:before="0" w:after="120"/>
      <w:ind w:start="0" w:end="0" w:firstLine="709"/>
    </w:pPr>
    <w:rPr>
      <w:rFonts w:ascii="Times New Roman" w:hAnsi="Times New Roman" w:eastAsia="Calibri" w:cs="Times New Roman"/>
      <w:sz w:val="24"/>
      <w:lang w:val="de-DE"/>
    </w:rPr>
  </w:style>
  <w:style w:type="paragraph" w:styleId="Footnote">
    <w:name w:val="Footnote Text"/>
    <w:basedOn w:val="Normal"/>
    <w:link w:val="FootnoteTextChar"/>
    <w:semiHidden/>
    <w:unhideWhenUsed/>
    <w:rsid w:val="00a9759a"/>
    <w:pPr/>
    <w:rPr/>
  </w:style>
  <w:style w:type="paragraph" w:styleId="TextkrperEinzug21" w:customStyle="1">
    <w:name w:val="Textkörper-Einzug 21"/>
    <w:basedOn w:val="Normal"/>
    <w:qFormat/>
    <w:rsid w:val="00a9759a"/>
    <w:pPr>
      <w:widowControl w:val="false"/>
      <w:suppressAutoHyphens w:val="true"/>
      <w:spacing w:lineRule="auto" w:line="360"/>
      <w:ind w:start="0" w:end="0" w:firstLine="709"/>
    </w:pPr>
    <w:rPr>
      <w:rFonts w:ascii="Times New Roman" w:hAnsi="Times New Roman" w:eastAsia="Arial" w:cs="Times New Roman"/>
      <w:sz w:val="24"/>
      <w:szCs w:val="24"/>
      <w:lang w:val="en-US" w:eastAsia="zh-CN"/>
    </w:rPr>
  </w:style>
  <w:style w:type="paragraph" w:styleId="Lijstalinea1" w:customStyle="1">
    <w:name w:val="Lijstalinea1"/>
    <w:basedOn w:val="Normal"/>
    <w:qFormat/>
    <w:rsid w:val="00a9759a"/>
    <w:pPr>
      <w:spacing w:lineRule="auto" w:line="276" w:before="0" w:after="200"/>
      <w:ind w:start="720" w:end="0" w:hanging="0"/>
      <w:contextualSpacing/>
    </w:pPr>
    <w:rPr>
      <w:rFonts w:ascii="Calibri" w:hAnsi="Calibri" w:eastAsia="Calibri" w:cs="Times New Roman"/>
      <w:lang w:val="hu-HU"/>
    </w:rPr>
  </w:style>
  <w:style w:type="paragraph" w:styleId="NormalWeb">
    <w:name w:val="Normal (Web)"/>
    <w:basedOn w:val="Normal"/>
    <w:semiHidden/>
    <w:qFormat/>
    <w:rsid w:val="00a9759a"/>
    <w:pPr>
      <w:spacing w:before="0" w:after="280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paragraph" w:styleId="Caption1">
    <w:name w:val="caption"/>
    <w:basedOn w:val="Normal"/>
    <w:next w:val="Normal"/>
    <w:qFormat/>
    <w:rsid w:val="00a9759a"/>
    <w:pPr>
      <w:spacing w:before="120" w:after="120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2</Pages>
  <Words>281</Words>
  <Characters>2201</Characters>
  <CharactersWithSpaces>2442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2014-07-25T05:00:00Z</dcterms:created>
  <dc:creator>IISG-User</dc:creator>
  <dc:description/>
  <dc:language>en-US</dc:language>
  <cp:lastModifiedBy/>
  <cp:lastPrinted>2012-04-10T10:31:00Z</cp:lastPrinted>
  <dcterms:modified xsi:type="dcterms:W3CDTF">2024-05-27T17:44:37Z</dcterms:modified>
  <cp:revision>22</cp:revision>
  <dc:subject/>
  <dc:title/>
</cp:coreProperties>
</file>