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8D7E0B" w:rsidRDefault="00073BA9">
      <w:pPr>
        <w:rPr>
          <w:b/>
          <w:sz w:val="28"/>
          <w:szCs w:val="28"/>
          <w:lang w:val="en-US"/>
        </w:rPr>
      </w:pPr>
      <w:r w:rsidRPr="008D7E0B">
        <w:rPr>
          <w:b/>
          <w:sz w:val="28"/>
          <w:szCs w:val="28"/>
          <w:lang w:val="en-US"/>
        </w:rPr>
        <w:t>Working Paper CLIO-INFRA</w:t>
      </w:r>
      <w:r w:rsidR="00804DEB">
        <w:rPr>
          <w:b/>
          <w:sz w:val="28"/>
          <w:szCs w:val="28"/>
          <w:lang w:val="en-US"/>
        </w:rPr>
        <w:t xml:space="preserve">: </w:t>
      </w:r>
      <w:r w:rsidR="007F759E">
        <w:rPr>
          <w:b/>
          <w:sz w:val="28"/>
          <w:szCs w:val="28"/>
          <w:lang w:val="en-US"/>
        </w:rPr>
        <w:t>Labourers’ real wages</w:t>
      </w: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t xml:space="preserve">- </w:t>
      </w:r>
      <w:r w:rsidR="007F759E">
        <w:rPr>
          <w:lang w:val="en-US"/>
        </w:rPr>
        <w:t>Building labourers’ real wages, 1820</w:t>
      </w:r>
      <w:r w:rsidR="00804DEB">
        <w:rPr>
          <w:lang w:val="en-US"/>
        </w:rPr>
        <w:t>-201</w:t>
      </w:r>
      <w:r w:rsidR="00AA754B">
        <w:rPr>
          <w:lang w:val="en-US"/>
        </w:rPr>
        <w:t>0</w:t>
      </w:r>
      <w:r>
        <w:rPr>
          <w:lang w:val="en-US"/>
        </w:rPr>
        <w:t>.</w:t>
      </w:r>
    </w:p>
    <w:p w:rsidR="0022249F" w:rsidRPr="00471780" w:rsidRDefault="0022249F" w:rsidP="0022249F">
      <w:r w:rsidRPr="00471780">
        <w:t>2. Author</w:t>
      </w:r>
      <w:r w:rsidR="00E42E4F" w:rsidRPr="00471780">
        <w:t>(s)</w:t>
      </w:r>
    </w:p>
    <w:p w:rsidR="00DF2464" w:rsidRPr="00804DEB" w:rsidRDefault="00DF2464" w:rsidP="0018359E">
      <w:r w:rsidRPr="00471780">
        <w:tab/>
      </w:r>
      <w:r w:rsidRPr="00804DEB">
        <w:t>-</w:t>
      </w:r>
      <w:r w:rsidR="007F759E">
        <w:t>Pim de Zwart,</w:t>
      </w:r>
      <w:r w:rsidRPr="00804DEB">
        <w:t xml:space="preserve"> </w:t>
      </w:r>
      <w:r w:rsidR="00804DEB" w:rsidRPr="00804DEB">
        <w:t xml:space="preserve">Bas van Leeuwen, </w:t>
      </w:r>
      <w:r w:rsidR="007F759E">
        <w:t xml:space="preserve">and </w:t>
      </w:r>
      <w:r w:rsidR="00804DEB" w:rsidRPr="00804DEB">
        <w:t xml:space="preserve">Jieli </w:t>
      </w:r>
      <w:r w:rsidR="00804DEB">
        <w:t>van Leeuwen-</w:t>
      </w:r>
      <w:r w:rsidR="00804DEB" w:rsidRPr="00804DEB">
        <w:t xml:space="preserve">Li, </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t xml:space="preserve">- </w:t>
      </w:r>
      <w:r w:rsidR="00471780">
        <w:rPr>
          <w:lang w:val="en-US"/>
        </w:rPr>
        <w:t>15-3-2013</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t xml:space="preserve">- </w:t>
      </w:r>
      <w:r w:rsidR="007F759E">
        <w:rPr>
          <w:lang w:val="en-US"/>
        </w:rPr>
        <w:t>1st</w:t>
      </w:r>
      <w:r w:rsidR="002C765E">
        <w:rPr>
          <w:lang w:val="en-US"/>
        </w:rPr>
        <w:t xml:space="preserve"> version</w:t>
      </w:r>
      <w:r>
        <w:rPr>
          <w:lang w:val="en-US"/>
        </w:rPr>
        <w:t>.</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t xml:space="preserve">- </w:t>
      </w:r>
      <w:r w:rsidR="007F759E">
        <w:rPr>
          <w:lang w:val="en-US"/>
        </w:rPr>
        <w:t>Wages and prices</w:t>
      </w:r>
      <w:r w:rsidR="00804DEB">
        <w:rPr>
          <w:lang w:val="en-US"/>
        </w:rPr>
        <w:t>.</w:t>
      </w:r>
    </w:p>
    <w:p w:rsidR="0022249F" w:rsidRDefault="008D7E0B" w:rsidP="0022249F">
      <w:pPr>
        <w:rPr>
          <w:lang w:val="en-US"/>
        </w:rPr>
      </w:pPr>
      <w:r>
        <w:rPr>
          <w:lang w:val="en-US"/>
        </w:rPr>
        <w:t>6</w:t>
      </w:r>
      <w:r w:rsidR="0022249F" w:rsidRPr="00E42E4F">
        <w:rPr>
          <w:lang w:val="en-US"/>
        </w:rPr>
        <w:t>. Variable</w:t>
      </w:r>
      <w:r>
        <w:rPr>
          <w:lang w:val="en-US"/>
        </w:rPr>
        <w:t>(s)</w:t>
      </w:r>
    </w:p>
    <w:p w:rsidR="007F759E" w:rsidRDefault="008D7E0B" w:rsidP="007F759E">
      <w:pPr>
        <w:rPr>
          <w:lang w:val="en-US"/>
        </w:rPr>
      </w:pPr>
      <w:r>
        <w:rPr>
          <w:lang w:val="en-US"/>
        </w:rPr>
        <w:tab/>
        <w:t>-</w:t>
      </w:r>
      <w:r w:rsidR="007F759E">
        <w:rPr>
          <w:lang w:val="en-US"/>
        </w:rPr>
        <w:t>Building labourers’ real wage by country</w:t>
      </w:r>
      <w:r w:rsidR="004C280F">
        <w:rPr>
          <w:lang w:val="en-US"/>
        </w:rPr>
        <w:t xml:space="preserve"> –</w:t>
      </w:r>
      <w:r w:rsidR="007F759E">
        <w:rPr>
          <w:lang w:val="en-US"/>
        </w:rPr>
        <w:t xml:space="preserve"> Daily building labourers’ wage divided by a daily subsistence basket</w:t>
      </w:r>
    </w:p>
    <w:p w:rsidR="008D7E0B" w:rsidRPr="00E42E4F" w:rsidRDefault="00804DEB" w:rsidP="00804DEB">
      <w:pPr>
        <w:ind w:firstLine="708"/>
        <w:rPr>
          <w:lang w:val="en-US"/>
        </w:rPr>
      </w:pPr>
      <w:r>
        <w:rPr>
          <w:lang w:val="en-US"/>
        </w:rPr>
        <w:t>r</w:t>
      </w:r>
      <w:r w:rsidR="008D7E0B">
        <w:rPr>
          <w:lang w:val="en-US"/>
        </w:rPr>
        <w:t>.</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18359E">
      <w:pPr>
        <w:rPr>
          <w:lang w:val="en-US"/>
        </w:rPr>
      </w:pPr>
      <w:r>
        <w:rPr>
          <w:lang w:val="en-US"/>
        </w:rPr>
        <w:tab/>
        <w:t xml:space="preserve">- </w:t>
      </w:r>
      <w:r w:rsidR="007F759E">
        <w:rPr>
          <w:lang w:val="en-US"/>
        </w:rPr>
        <w:t>number of subsistence baskets</w:t>
      </w:r>
      <w:r>
        <w:rPr>
          <w:lang w:val="en-US"/>
        </w:rPr>
        <w:t>.</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7F759E">
        <w:rPr>
          <w:lang w:val="en-US"/>
        </w:rPr>
        <w:t>Building labourer, wage, price, world</w:t>
      </w:r>
      <w:r w:rsidR="00804DEB">
        <w:rPr>
          <w:lang w:val="en-US"/>
        </w:rPr>
        <w:t>.</w:t>
      </w:r>
    </w:p>
    <w:p w:rsidR="00E3589C" w:rsidRDefault="00E3589C" w:rsidP="0022249F">
      <w:pPr>
        <w:rPr>
          <w:lang w:val="en-US"/>
        </w:rPr>
      </w:pPr>
      <w:r>
        <w:rPr>
          <w:lang w:val="en-US"/>
        </w:rPr>
        <w:t>9</w:t>
      </w:r>
      <w:r w:rsidR="0022249F" w:rsidRPr="00E42E4F">
        <w:rPr>
          <w:lang w:val="en-US"/>
        </w:rPr>
        <w:t>. Abstract (200 words)</w:t>
      </w:r>
    </w:p>
    <w:p w:rsidR="00E3589C" w:rsidRDefault="00E3589C" w:rsidP="00D90C18">
      <w:pPr>
        <w:ind w:left="705"/>
        <w:rPr>
          <w:lang w:val="en-US"/>
        </w:rPr>
      </w:pPr>
      <w:r>
        <w:rPr>
          <w:lang w:val="en-US"/>
        </w:rPr>
        <w:t xml:space="preserve">- </w:t>
      </w:r>
      <w:r w:rsidR="00D90C18">
        <w:rPr>
          <w:lang w:val="en-US"/>
        </w:rPr>
        <w:t>The</w:t>
      </w:r>
      <w:r w:rsidR="00752376">
        <w:rPr>
          <w:lang w:val="en-US"/>
        </w:rPr>
        <w:t xml:space="preserve"> </w:t>
      </w:r>
      <w:r w:rsidR="007F759E">
        <w:rPr>
          <w:lang w:val="en-US"/>
        </w:rPr>
        <w:t xml:space="preserve">building labourers’ real wage </w:t>
      </w:r>
      <w:r w:rsidR="00804DEB">
        <w:rPr>
          <w:lang w:val="en-US"/>
        </w:rPr>
        <w:t xml:space="preserve">is given annually for the period 1850-2010. </w:t>
      </w:r>
    </w:p>
    <w:p w:rsidR="0022249F" w:rsidRPr="00E42E4F" w:rsidRDefault="0022249F" w:rsidP="0022249F">
      <w:pPr>
        <w:rPr>
          <w:lang w:val="en-US"/>
        </w:rPr>
      </w:pPr>
      <w:r w:rsidRPr="00E42E4F">
        <w:rPr>
          <w:lang w:val="en-US"/>
        </w:rPr>
        <w:t>1</w:t>
      </w:r>
      <w:r w:rsidR="00C16C16">
        <w:rPr>
          <w:lang w:val="en-US"/>
        </w:rPr>
        <w:t>0</w:t>
      </w:r>
      <w:r w:rsidRPr="00E42E4F">
        <w:rPr>
          <w:lang w:val="en-US"/>
        </w:rPr>
        <w:t>. Time period</w:t>
      </w:r>
    </w:p>
    <w:p w:rsidR="00C16C16" w:rsidRDefault="00C16C16" w:rsidP="0022249F">
      <w:pPr>
        <w:rPr>
          <w:lang w:val="en-US"/>
        </w:rPr>
      </w:pPr>
      <w:r>
        <w:rPr>
          <w:lang w:val="en-US"/>
        </w:rPr>
        <w:tab/>
        <w:t xml:space="preserve">- </w:t>
      </w:r>
      <w:r w:rsidR="004C280F">
        <w:rPr>
          <w:lang w:val="en-US"/>
        </w:rPr>
        <w:t>1</w:t>
      </w:r>
      <w:r w:rsidR="00804DEB">
        <w:rPr>
          <w:lang w:val="en-US"/>
        </w:rPr>
        <w:t>8</w:t>
      </w:r>
      <w:r w:rsidR="007F759E">
        <w:rPr>
          <w:lang w:val="en-US"/>
        </w:rPr>
        <w:t>2</w:t>
      </w:r>
      <w:r w:rsidR="004C280F">
        <w:rPr>
          <w:lang w:val="en-US"/>
        </w:rPr>
        <w:t>0</w:t>
      </w:r>
      <w:r w:rsidR="0018359E">
        <w:rPr>
          <w:lang w:val="en-US"/>
        </w:rPr>
        <w:t>-2000</w:t>
      </w:r>
      <w:r>
        <w:rPr>
          <w:lang w:val="en-US"/>
        </w:rPr>
        <w:t>.</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132A6" w:rsidP="00BA2BA6">
      <w:pPr>
        <w:rPr>
          <w:lang w:val="en-US"/>
        </w:rPr>
      </w:pPr>
      <w:r>
        <w:rPr>
          <w:lang w:val="en-US"/>
        </w:rPr>
        <w:tab/>
        <w:t xml:space="preserve">- </w:t>
      </w:r>
      <w:r w:rsidR="0018359E">
        <w:rPr>
          <w:lang w:val="en-US"/>
        </w:rPr>
        <w:t>Entire World</w:t>
      </w:r>
      <w:r>
        <w:rPr>
          <w:lang w:val="en-US"/>
        </w:rPr>
        <w:t>.</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F42E54" w:rsidRDefault="003132A6" w:rsidP="00F42E54">
      <w:pPr>
        <w:ind w:left="705"/>
        <w:rPr>
          <w:lang w:val="en-US"/>
        </w:rPr>
      </w:pPr>
      <w:r>
        <w:rPr>
          <w:lang w:val="en-US"/>
        </w:rPr>
        <w:t xml:space="preserve">- </w:t>
      </w:r>
      <w:r w:rsidR="0018359E">
        <w:rPr>
          <w:lang w:val="en-US"/>
        </w:rPr>
        <w:t>Bibliographical</w:t>
      </w:r>
      <w:r w:rsidR="00B17D7A">
        <w:rPr>
          <w:lang w:val="en-US"/>
        </w:rPr>
        <w:t xml:space="preserve"> research</w:t>
      </w:r>
      <w:r w:rsidR="00F42E54">
        <w:rPr>
          <w:lang w:val="en-US"/>
        </w:rPr>
        <w:t xml:space="preserve">, research of published and Online </w:t>
      </w:r>
      <w:r w:rsidR="0018359E">
        <w:rPr>
          <w:lang w:val="en-US"/>
        </w:rPr>
        <w:t>Databases</w:t>
      </w:r>
      <w:r w:rsidR="00F42E54">
        <w:rPr>
          <w:lang w:val="en-US"/>
        </w:rPr>
        <w:t>, and cross-analysis of various datasets</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22249F">
      <w:pPr>
        <w:rPr>
          <w:lang w:val="en-US"/>
        </w:rPr>
      </w:pPr>
      <w:r>
        <w:rPr>
          <w:lang w:val="en-US"/>
        </w:rPr>
        <w:tab/>
      </w:r>
      <w:r w:rsidR="0022249F" w:rsidRPr="00E42E4F">
        <w:rPr>
          <w:lang w:val="en-US"/>
        </w:rPr>
        <w:tab/>
      </w:r>
      <w:r w:rsidR="00F42E54">
        <w:rPr>
          <w:lang w:val="en-US"/>
        </w:rPr>
        <w:t>i. Central statistical agencies</w:t>
      </w:r>
    </w:p>
    <w:p w:rsidR="0022249F" w:rsidRPr="00E42E4F" w:rsidRDefault="003132A6" w:rsidP="00B17D7A">
      <w:pPr>
        <w:rPr>
          <w:lang w:val="en-US"/>
        </w:rPr>
      </w:pPr>
      <w:r>
        <w:rPr>
          <w:lang w:val="en-US"/>
        </w:rPr>
        <w:tab/>
      </w:r>
      <w:r w:rsidR="00F42E54">
        <w:rPr>
          <w:lang w:val="en-US"/>
        </w:rPr>
        <w:tab/>
        <w:t>ii. Historical reconstructions</w:t>
      </w:r>
    </w:p>
    <w:p w:rsidR="0022249F" w:rsidRPr="00E42E4F" w:rsidRDefault="003132A6" w:rsidP="0022249F">
      <w:pPr>
        <w:rPr>
          <w:lang w:val="en-US"/>
        </w:rPr>
      </w:pPr>
      <w:r>
        <w:rPr>
          <w:lang w:val="en-US"/>
        </w:rPr>
        <w:tab/>
      </w:r>
      <w:r w:rsidR="00F42E54">
        <w:rPr>
          <w:lang w:val="en-US"/>
        </w:rPr>
        <w:tab/>
        <w:t>iii. Estimates</w:t>
      </w:r>
    </w:p>
    <w:p w:rsidR="0022249F" w:rsidRDefault="003132A6" w:rsidP="0022249F">
      <w:pPr>
        <w:rPr>
          <w:lang w:val="en-US"/>
        </w:rPr>
      </w:pPr>
      <w:r>
        <w:rPr>
          <w:lang w:val="en-US"/>
        </w:rPr>
        <w:tab/>
      </w:r>
      <w:r w:rsidR="0022249F" w:rsidRPr="00E42E4F">
        <w:rPr>
          <w:lang w:val="en-US"/>
        </w:rPr>
        <w:tab/>
        <w:t>iv. Conjectures</w:t>
      </w:r>
    </w:p>
    <w:p w:rsidR="00C809B2" w:rsidRDefault="00C809B2" w:rsidP="0022249F">
      <w:pPr>
        <w:rPr>
          <w:lang w:val="en-US"/>
        </w:rPr>
      </w:pPr>
      <w:r>
        <w:rPr>
          <w:lang w:val="en-US"/>
        </w:rPr>
        <w:t xml:space="preserve">Virtually all benchmark data </w:t>
      </w:r>
      <w:r w:rsidR="007F759E">
        <w:rPr>
          <w:lang w:val="en-US"/>
        </w:rPr>
        <w:t xml:space="preserve">after the 1920s </w:t>
      </w:r>
      <w:r>
        <w:rPr>
          <w:lang w:val="en-US"/>
        </w:rPr>
        <w:t xml:space="preserve">are derived indirectly from Central Statistical Agencies and therefore probably better classify as historical reconstructions. The remaining data are estimates. </w:t>
      </w:r>
    </w:p>
    <w:p w:rsidR="00C809B2" w:rsidRPr="00E42E4F" w:rsidRDefault="00C809B2" w:rsidP="0022249F">
      <w:pPr>
        <w:rPr>
          <w:lang w:val="en-US"/>
        </w:rPr>
      </w:pPr>
    </w:p>
    <w:p w:rsidR="0022249F" w:rsidRPr="00E42E4F" w:rsidRDefault="003132A6" w:rsidP="0022249F">
      <w:pPr>
        <w:rPr>
          <w:lang w:val="en-US"/>
        </w:rPr>
      </w:pPr>
      <w:r>
        <w:rPr>
          <w:lang w:val="en-US"/>
        </w:rPr>
        <w:t>14</w:t>
      </w:r>
      <w:r w:rsidR="008274E7">
        <w:rPr>
          <w:lang w:val="en-US"/>
        </w:rPr>
        <w:t>.</w:t>
      </w:r>
      <w:r w:rsidR="0022249F" w:rsidRPr="00E42E4F">
        <w:rPr>
          <w:lang w:val="en-US"/>
        </w:rPr>
        <w:t xml:space="preserve"> </w:t>
      </w:r>
      <w:r w:rsidR="008274E7">
        <w:rPr>
          <w:lang w:val="en-US"/>
        </w:rPr>
        <w:t xml:space="preserve">Period </w:t>
      </w:r>
      <w:r w:rsidR="0022249F" w:rsidRPr="00E42E4F">
        <w:rPr>
          <w:lang w:val="en-US"/>
        </w:rPr>
        <w:t>of collection</w:t>
      </w:r>
    </w:p>
    <w:p w:rsidR="003132A6" w:rsidRDefault="003132A6" w:rsidP="0022249F">
      <w:pPr>
        <w:rPr>
          <w:lang w:val="en-US"/>
        </w:rPr>
      </w:pPr>
      <w:r>
        <w:rPr>
          <w:lang w:val="en-US"/>
        </w:rPr>
        <w:tab/>
      </w:r>
      <w:r w:rsidR="007F759E">
        <w:rPr>
          <w:lang w:val="en-US"/>
        </w:rPr>
        <w:t>Jan</w:t>
      </w:r>
      <w:r w:rsidR="0018359E">
        <w:rPr>
          <w:lang w:val="en-US"/>
        </w:rPr>
        <w:t>/201</w:t>
      </w:r>
      <w:r w:rsidR="007F759E">
        <w:rPr>
          <w:lang w:val="en-US"/>
        </w:rPr>
        <w:t>3</w:t>
      </w:r>
      <w:r w:rsidR="0018359E">
        <w:rPr>
          <w:lang w:val="en-US"/>
        </w:rPr>
        <w:t xml:space="preserve"> and </w:t>
      </w:r>
      <w:r w:rsidR="007F759E">
        <w:rPr>
          <w:lang w:val="en-US"/>
        </w:rPr>
        <w:t>Jan</w:t>
      </w:r>
      <w:r w:rsidR="0018359E">
        <w:rPr>
          <w:lang w:val="en-US"/>
        </w:rPr>
        <w:t>/201</w:t>
      </w:r>
      <w:r w:rsidR="007F759E">
        <w:rPr>
          <w:lang w:val="en-US"/>
        </w:rPr>
        <w:t>4</w:t>
      </w:r>
      <w:r>
        <w:rPr>
          <w:lang w:val="en-US"/>
        </w:rPr>
        <w:t>.</w:t>
      </w:r>
    </w:p>
    <w:p w:rsidR="00CF30C8" w:rsidRDefault="00CF30C8" w:rsidP="0022249F"/>
    <w:p w:rsidR="0022249F" w:rsidRPr="00471780" w:rsidRDefault="003132A6" w:rsidP="0022249F">
      <w:r w:rsidRPr="00471780">
        <w:t>15</w:t>
      </w:r>
      <w:r w:rsidR="0022249F" w:rsidRPr="00471780">
        <w:t>. Data collectors</w:t>
      </w:r>
    </w:p>
    <w:p w:rsidR="003132A6" w:rsidRPr="00804DEB" w:rsidRDefault="003132A6" w:rsidP="0018359E">
      <w:r w:rsidRPr="00471780">
        <w:tab/>
      </w:r>
      <w:r w:rsidRPr="00804DEB">
        <w:t xml:space="preserve">- </w:t>
      </w:r>
      <w:r w:rsidR="007F759E">
        <w:t xml:space="preserve">Pim de Zwart, </w:t>
      </w:r>
      <w:r w:rsidR="00804DEB" w:rsidRPr="00804DEB">
        <w:t>Bas van Leeuwen and Jieli van Leeuwen-Li</w:t>
      </w:r>
      <w:r w:rsidRPr="00804DEB">
        <w:t>.</w:t>
      </w:r>
    </w:p>
    <w:p w:rsidR="00CF30C8" w:rsidRDefault="00CF30C8" w:rsidP="003132A6">
      <w:pPr>
        <w:rPr>
          <w:lang w:val="en-US"/>
        </w:rPr>
      </w:pPr>
    </w:p>
    <w:p w:rsidR="0022249F" w:rsidRDefault="00BA2BA6" w:rsidP="003132A6">
      <w:pPr>
        <w:rPr>
          <w:lang w:val="en-US"/>
        </w:rPr>
      </w:pPr>
      <w:r w:rsidRPr="00E42E4F">
        <w:rPr>
          <w:lang w:val="en-US"/>
        </w:rPr>
        <w:t>1</w:t>
      </w:r>
      <w:r w:rsidR="003132A6">
        <w:rPr>
          <w:lang w:val="en-US"/>
        </w:rPr>
        <w:t>6</w:t>
      </w:r>
      <w:r w:rsidR="0022249F" w:rsidRPr="00E42E4F">
        <w:rPr>
          <w:lang w:val="en-US"/>
        </w:rPr>
        <w:t>. Sources</w:t>
      </w:r>
    </w:p>
    <w:p w:rsidR="00CF30C8" w:rsidRPr="00CF30C8" w:rsidRDefault="00CF30C8" w:rsidP="00CF30C8">
      <w:pPr>
        <w:tabs>
          <w:tab w:val="left" w:pos="850"/>
          <w:tab w:val="left" w:pos="1191"/>
          <w:tab w:val="left" w:pos="1531"/>
        </w:tabs>
        <w:spacing w:after="240"/>
        <w:jc w:val="both"/>
        <w:rPr>
          <w:rFonts w:eastAsia="Times New Roman" w:cs="Times New Roman"/>
          <w:lang w:val="en-GB" w:eastAsia="zh-CN"/>
        </w:rPr>
      </w:pPr>
      <w:r w:rsidRPr="00CF30C8">
        <w:rPr>
          <w:rFonts w:eastAsia="Times New Roman" w:cs="Times New Roman"/>
          <w:lang w:val="en-GB" w:eastAsia="zh-CN"/>
        </w:rPr>
        <w:t xml:space="preserve">The wage and price series shown in this chapter are taken from three sources: (A) a variety of studies on historical real wages that appeared in academic journals and books; (B) the British Colonial Blue Books (circa 1840-1912); and (C) the October Enquiries of the International Labour Organisation (1924-2008). These data were then converted into subsistence ratios, which indicate how many times the daily wage of a male unskilled construction labourer can buy the daily subsistence basket. This methodology has the advantage of providing an absolute yardstick to compare welfare across countries and time periods and, hence, is conceptually close (but not </w:t>
      </w:r>
      <w:r w:rsidRPr="00CF30C8">
        <w:rPr>
          <w:rFonts w:eastAsia="Times New Roman" w:cs="Times New Roman"/>
          <w:lang w:val="en-GB" w:eastAsia="zh-CN"/>
        </w:rPr>
        <w:lastRenderedPageBreak/>
        <w:t>identical) to purchasing power parities. Finally, in order to fill gaps in the data, interpolations were made (D) on the basis of real wages indices from the (older) literature.</w:t>
      </w:r>
    </w:p>
    <w:p w:rsidR="00CF30C8" w:rsidRPr="00CF30C8" w:rsidRDefault="00CF30C8" w:rsidP="00CF30C8">
      <w:pPr>
        <w:numPr>
          <w:ilvl w:val="0"/>
          <w:numId w:val="2"/>
        </w:numPr>
        <w:tabs>
          <w:tab w:val="left" w:pos="1134"/>
          <w:tab w:val="left" w:pos="1191"/>
          <w:tab w:val="left" w:pos="1531"/>
        </w:tabs>
        <w:spacing w:after="240"/>
        <w:jc w:val="both"/>
        <w:rPr>
          <w:rFonts w:eastAsia="Times New Roman" w:cs="Times New Roman"/>
          <w:lang w:val="en-GB" w:eastAsia="zh-CN"/>
        </w:rPr>
      </w:pPr>
      <w:r w:rsidRPr="00CF30C8">
        <w:rPr>
          <w:rFonts w:eastAsia="Times New Roman" w:cs="Times New Roman"/>
          <w:lang w:val="en-GB" w:eastAsia="zh-CN"/>
        </w:rPr>
        <w:t>To start, for much of the 19</w:t>
      </w:r>
      <w:r w:rsidRPr="00CF30C8">
        <w:rPr>
          <w:rFonts w:eastAsia="Times New Roman" w:cs="Times New Roman"/>
          <w:vertAlign w:val="superscript"/>
          <w:lang w:val="en-GB" w:eastAsia="zh-CN"/>
        </w:rPr>
        <w:t>th</w:t>
      </w:r>
      <w:r w:rsidRPr="00CF30C8">
        <w:rPr>
          <w:rFonts w:eastAsia="Times New Roman" w:cs="Times New Roman"/>
          <w:lang w:val="en-GB" w:eastAsia="zh-CN"/>
        </w:rPr>
        <w:t xml:space="preserve"> century data we draw on economic histories. Much European data came from Allen’s pioneering study (2001) on European wages and prices from the late Middle Ages to the First World War.</w:t>
      </w:r>
      <w:r w:rsidRPr="00CF30C8">
        <w:rPr>
          <w:rFonts w:eastAsia="Times New Roman" w:cs="Times New Roman"/>
          <w:vertAlign w:val="superscript"/>
          <w:lang w:val="en-GB" w:eastAsia="zh-CN"/>
        </w:rPr>
        <w:endnoteReference w:id="1"/>
      </w:r>
      <w:r w:rsidRPr="00CF30C8">
        <w:rPr>
          <w:rFonts w:eastAsia="Times New Roman" w:cs="Times New Roman"/>
          <w:lang w:val="en-GB" w:eastAsia="zh-CN"/>
        </w:rPr>
        <w:t xml:space="preserve"> Data for Istanbul came from the study by Ozmucur and Pamuk (2002), which was based on over 6 000 account books from the soup kitchens of pious foundations and the Topkapı Palace. In addition, we took data for Japan from Bassino and Ma (2005), for several Southeast Asian countries from Van der Eng and Bassino (2013), for India from Allen (2007), for China from Allen </w:t>
      </w:r>
      <w:r w:rsidRPr="00CF30C8">
        <w:rPr>
          <w:rFonts w:eastAsia="Times New Roman" w:cs="Times New Roman"/>
          <w:i/>
          <w:lang w:val="en-GB" w:eastAsia="zh-CN"/>
        </w:rPr>
        <w:t>et al.</w:t>
      </w:r>
      <w:r w:rsidRPr="00CF30C8">
        <w:rPr>
          <w:rFonts w:eastAsia="Times New Roman" w:cs="Times New Roman"/>
          <w:lang w:val="en-GB" w:eastAsia="zh-CN"/>
        </w:rPr>
        <w:t xml:space="preserve"> </w:t>
      </w:r>
      <w:r w:rsidRPr="00CF30C8">
        <w:rPr>
          <w:rFonts w:eastAsia="Times New Roman" w:cs="Times New Roman"/>
          <w:lang w:val="es-ES" w:eastAsia="zh-CN"/>
        </w:rPr>
        <w:t xml:space="preserve">(2011), for Argentina, Bolivia, Chile, Colombia, Mexico and Peru from Arroyo Abad </w:t>
      </w:r>
      <w:r w:rsidRPr="00CF30C8">
        <w:rPr>
          <w:rFonts w:eastAsia="Times New Roman" w:cs="Times New Roman"/>
          <w:i/>
          <w:lang w:val="es-ES" w:eastAsia="zh-CN"/>
        </w:rPr>
        <w:t>et al.</w:t>
      </w:r>
      <w:r w:rsidRPr="00CF30C8">
        <w:rPr>
          <w:rFonts w:eastAsia="Times New Roman" w:cs="Times New Roman"/>
          <w:lang w:val="es-ES" w:eastAsia="zh-CN"/>
        </w:rPr>
        <w:t xml:space="preserve"> </w:t>
      </w:r>
      <w:r w:rsidRPr="00CF30C8">
        <w:rPr>
          <w:rFonts w:eastAsia="Times New Roman" w:cs="Times New Roman"/>
          <w:lang w:val="en-GB" w:eastAsia="zh-CN"/>
        </w:rPr>
        <w:t xml:space="preserve">(2012), for the United States from Allen </w:t>
      </w:r>
      <w:r w:rsidRPr="00CF30C8">
        <w:rPr>
          <w:rFonts w:eastAsia="Times New Roman" w:cs="Times New Roman"/>
          <w:i/>
          <w:lang w:val="en-GB" w:eastAsia="zh-CN"/>
        </w:rPr>
        <w:t>et al.</w:t>
      </w:r>
      <w:r w:rsidRPr="00CF30C8">
        <w:rPr>
          <w:rFonts w:eastAsia="Times New Roman" w:cs="Times New Roman"/>
          <w:lang w:val="en-GB" w:eastAsia="zh-CN"/>
        </w:rPr>
        <w:t xml:space="preserve"> (2012), and for Indonesia from De Zwart and Van Zanden (2012). These studies each draw on a variety of sources that are too extensive to discuss here. </w:t>
      </w:r>
    </w:p>
    <w:p w:rsidR="00CF30C8" w:rsidRPr="00CF30C8" w:rsidRDefault="00CF30C8" w:rsidP="00CF30C8">
      <w:pPr>
        <w:numPr>
          <w:ilvl w:val="0"/>
          <w:numId w:val="2"/>
        </w:numPr>
        <w:tabs>
          <w:tab w:val="left" w:pos="1134"/>
          <w:tab w:val="left" w:pos="1191"/>
          <w:tab w:val="left" w:pos="1531"/>
        </w:tabs>
        <w:spacing w:after="240"/>
        <w:jc w:val="both"/>
        <w:rPr>
          <w:rFonts w:eastAsia="Times New Roman" w:cs="Times New Roman"/>
          <w:lang w:val="en-GB" w:eastAsia="zh-CN"/>
        </w:rPr>
      </w:pPr>
      <w:r w:rsidRPr="00CF30C8">
        <w:rPr>
          <w:rFonts w:eastAsia="Times New Roman" w:cs="Times New Roman"/>
          <w:lang w:val="en-GB" w:eastAsia="zh-CN"/>
        </w:rPr>
        <w:t xml:space="preserve">The Colonial Blue Books (1840-1912) contain data that were collected by the colonial administrators in the various colonies of the British Empire and sent each year to the Colonial Office in London, in response to questionnaires sent out by the latter. Frankema and Van Waijenburg (2012) worked with these data for nine British African colonies, with the earliest observation dating from 1870. We extended their series, where possible, to 1850, and added estimates for South Africa (De Zwart, 2011). In addition, we added data from several non-African colonies, especially in Oceania, Latin America and the Caribbean. Data from the Blue Books are not ideal, since price data do not always reflect retail prices (but prices for produce) and wages are not always representative for the majority of the population, but these are currently the only figures available for many of Europe’s former colonial possessions. </w:t>
      </w:r>
    </w:p>
    <w:p w:rsidR="00CF30C8" w:rsidRPr="00CF30C8" w:rsidRDefault="00CF30C8" w:rsidP="00CF30C8">
      <w:pPr>
        <w:numPr>
          <w:ilvl w:val="0"/>
          <w:numId w:val="2"/>
        </w:numPr>
        <w:tabs>
          <w:tab w:val="left" w:pos="1134"/>
          <w:tab w:val="left" w:pos="1191"/>
          <w:tab w:val="left" w:pos="1531"/>
        </w:tabs>
        <w:spacing w:after="240"/>
        <w:jc w:val="both"/>
        <w:rPr>
          <w:rFonts w:eastAsia="Times New Roman" w:cs="Times New Roman"/>
          <w:lang w:val="en-GB" w:eastAsia="zh-CN"/>
        </w:rPr>
      </w:pPr>
      <w:r w:rsidRPr="00CF30C8">
        <w:rPr>
          <w:rFonts w:eastAsia="Times New Roman" w:cs="Times New Roman"/>
          <w:lang w:val="en-GB" w:eastAsia="zh-CN"/>
        </w:rPr>
        <w:t>Since 1924, the International Labour Organisation (ILO) has conducted an annual survey, called the October Inquiry, to obtain data on wages and prices worldwide.</w:t>
      </w:r>
      <w:r w:rsidRPr="00CF30C8">
        <w:rPr>
          <w:rFonts w:eastAsia="Times New Roman" w:cs="Times New Roman"/>
          <w:vertAlign w:val="superscript"/>
          <w:lang w:val="en-GB" w:eastAsia="zh-CN"/>
        </w:rPr>
        <w:endnoteReference w:id="2"/>
      </w:r>
      <w:r w:rsidRPr="00CF30C8">
        <w:rPr>
          <w:rFonts w:eastAsia="Times New Roman" w:cs="Times New Roman"/>
          <w:lang w:val="en-GB" w:eastAsia="zh-CN"/>
        </w:rPr>
        <w:t xml:space="preserve"> Every year the ILO has sent two questionnaires (one relating to wages and hours of work, the other to retail prices) to national statistical agencies, which were to complete the questionnaires with the information already available to them (and thus not to conduct specific surveys in order to supply the data).</w:t>
      </w:r>
      <w:r w:rsidRPr="00CF30C8">
        <w:rPr>
          <w:rFonts w:eastAsia="Times New Roman" w:cs="Times New Roman"/>
          <w:vertAlign w:val="superscript"/>
          <w:lang w:val="en-GB" w:eastAsia="zh-CN"/>
        </w:rPr>
        <w:endnoteReference w:id="3"/>
      </w:r>
      <w:r w:rsidRPr="00CF30C8">
        <w:rPr>
          <w:rFonts w:eastAsia="Times New Roman" w:cs="Times New Roman"/>
          <w:lang w:val="en-GB" w:eastAsia="zh-CN"/>
        </w:rPr>
        <w:t xml:space="preserve"> Hence, while the price data are roughly consistent, the wage information returned for the various countries could differ significantly; while some reported average wages per hour from an establishment survey, others reported legislated minimum or maximum wage rates for certain occupations, and others returned minimum wage rates based on collective agreements, etc. (see Freeman and Oostendorp, 2001). These wage data thus require some form of standardisation before they can be used. Since 1983, this work has been performed by Freeman and Oostendorp (2001), Harsch and Kleinert (2011), and Oostendorp (2012). In addition, the number of countries included expanded from 15 in 1924 to over 50 in the 1950s, after which the number of countries has fluctuated (after 1983 it contains data on over 130 countries!). </w:t>
      </w:r>
    </w:p>
    <w:p w:rsidR="00CF30C8" w:rsidRPr="00CF30C8" w:rsidRDefault="00CF30C8" w:rsidP="00CF30C8">
      <w:pPr>
        <w:numPr>
          <w:ilvl w:val="0"/>
          <w:numId w:val="2"/>
        </w:numPr>
        <w:tabs>
          <w:tab w:val="left" w:pos="1134"/>
          <w:tab w:val="left" w:pos="1191"/>
          <w:tab w:val="left" w:pos="1531"/>
        </w:tabs>
        <w:spacing w:after="240"/>
        <w:jc w:val="both"/>
        <w:rPr>
          <w:rFonts w:eastAsia="Times New Roman" w:cs="Times New Roman"/>
          <w:lang w:val="en-GB" w:eastAsia="zh-CN"/>
        </w:rPr>
      </w:pPr>
      <w:r w:rsidRPr="00CF30C8">
        <w:rPr>
          <w:rFonts w:eastAsia="Times New Roman" w:cs="Times New Roman"/>
          <w:lang w:val="en-GB" w:eastAsia="zh-CN"/>
        </w:rPr>
        <w:t>Real wage series for various countries in the 19</w:t>
      </w:r>
      <w:r w:rsidRPr="00CF30C8">
        <w:rPr>
          <w:rFonts w:eastAsia="Times New Roman" w:cs="Times New Roman"/>
          <w:vertAlign w:val="superscript"/>
          <w:lang w:val="en-GB" w:eastAsia="zh-CN"/>
        </w:rPr>
        <w:t>th</w:t>
      </w:r>
      <w:r w:rsidRPr="00CF30C8">
        <w:rPr>
          <w:rFonts w:eastAsia="Times New Roman" w:cs="Times New Roman"/>
          <w:lang w:val="en-GB" w:eastAsia="zh-CN"/>
        </w:rPr>
        <w:t xml:space="preserve"> and 20</w:t>
      </w:r>
      <w:r w:rsidRPr="00CF30C8">
        <w:rPr>
          <w:rFonts w:eastAsia="Times New Roman" w:cs="Times New Roman"/>
          <w:vertAlign w:val="superscript"/>
          <w:lang w:val="en-GB" w:eastAsia="zh-CN"/>
        </w:rPr>
        <w:t>th</w:t>
      </w:r>
      <w:r w:rsidRPr="00CF30C8">
        <w:rPr>
          <w:rFonts w:eastAsia="Times New Roman" w:cs="Times New Roman"/>
          <w:lang w:val="en-GB" w:eastAsia="zh-CN"/>
        </w:rPr>
        <w:t xml:space="preserve"> centuries are also available from other (older) literature (</w:t>
      </w:r>
      <w:r w:rsidRPr="00CF30C8">
        <w:rPr>
          <w:rFonts w:eastAsia="Times New Roman" w:cs="Times New Roman"/>
          <w:i/>
          <w:lang w:val="en-GB" w:eastAsia="zh-CN"/>
        </w:rPr>
        <w:t>e.g.</w:t>
      </w:r>
      <w:r w:rsidRPr="00CF30C8">
        <w:rPr>
          <w:rFonts w:eastAsia="Times New Roman" w:cs="Times New Roman"/>
          <w:lang w:val="en-GB" w:eastAsia="zh-CN"/>
        </w:rPr>
        <w:t xml:space="preserve"> Mitchell, 2007; Williamson 1998; Scholliers and Zamagni, 1995) as well as from some more recent literature on wages and prices (</w:t>
      </w:r>
      <w:r w:rsidRPr="00CF30C8">
        <w:rPr>
          <w:rFonts w:eastAsia="Times New Roman" w:cs="Times New Roman"/>
          <w:i/>
          <w:lang w:val="en-GB" w:eastAsia="zh-CN"/>
        </w:rPr>
        <w:t>e.g.</w:t>
      </w:r>
      <w:r w:rsidRPr="00CF30C8">
        <w:rPr>
          <w:rFonts w:eastAsia="Times New Roman" w:cs="Times New Roman"/>
          <w:lang w:val="en-GB" w:eastAsia="zh-CN"/>
        </w:rPr>
        <w:t xml:space="preserve"> Van Leeuwen, 2004; 2007). In addition, in a few cases we included special reports, such as on the period 1950-1970 in China for which little data is available (</w:t>
      </w:r>
      <w:r w:rsidRPr="00CF30C8">
        <w:rPr>
          <w:rFonts w:eastAsia="Times New Roman" w:cs="Times New Roman"/>
          <w:i/>
          <w:lang w:val="en-GB" w:eastAsia="zh-CN"/>
        </w:rPr>
        <w:t>e.g.</w:t>
      </w:r>
      <w:r w:rsidRPr="00CF30C8">
        <w:rPr>
          <w:rFonts w:eastAsia="Times New Roman" w:cs="Times New Roman"/>
          <w:lang w:val="en-GB" w:eastAsia="zh-CN"/>
        </w:rPr>
        <w:t xml:space="preserve"> Survey on cities and counties in Guangxi, 1985; Yulin City Gazetteer, 1993). The lack of standardisation in the methodology makes direct comparisons on the basis of these data impossible. However, in order to deal with gaps in the data, those real wage series are used for interpolation in a few cases. </w:t>
      </w:r>
    </w:p>
    <w:p w:rsidR="002C2F4C" w:rsidRDefault="002C2F4C" w:rsidP="008274E7">
      <w:pPr>
        <w:rPr>
          <w:lang w:val="en-US"/>
        </w:rPr>
      </w:pPr>
    </w:p>
    <w:p w:rsidR="008274E7" w:rsidRDefault="008274E7" w:rsidP="008274E7">
      <w:pPr>
        <w:rPr>
          <w:lang w:val="en-US"/>
        </w:rPr>
      </w:pPr>
      <w:r>
        <w:rPr>
          <w:lang w:val="en-US"/>
        </w:rPr>
        <w:lastRenderedPageBreak/>
        <w:t>17. Text</w:t>
      </w:r>
    </w:p>
    <w:p w:rsidR="00CF30C8" w:rsidRPr="00CF30C8" w:rsidRDefault="00CF30C8" w:rsidP="00CF30C8">
      <w:pPr>
        <w:tabs>
          <w:tab w:val="left" w:pos="850"/>
          <w:tab w:val="left" w:pos="1191"/>
          <w:tab w:val="left" w:pos="1531"/>
        </w:tabs>
        <w:spacing w:after="240"/>
        <w:jc w:val="both"/>
        <w:rPr>
          <w:rFonts w:eastAsia="Times New Roman" w:cs="Times New Roman"/>
          <w:lang w:val="en-GB" w:eastAsia="zh-CN"/>
        </w:rPr>
      </w:pPr>
      <w:r w:rsidRPr="00CF30C8">
        <w:rPr>
          <w:rFonts w:eastAsia="Times New Roman" w:cs="Times New Roman"/>
          <w:lang w:val="en-GB" w:eastAsia="zh-CN"/>
        </w:rPr>
        <w:t>After the price and wage data were collected, they needed to be standardised. This required first dealing with wage and price ranges. If ranges were reported, we took the logarithmic average of the wages, while for the prices we took the simple geometric mean. Second, standardisation required a modification of the territorial unit, since many of the data were given at the regional level, often with multiple cities/regions for one country. This modification was performed by taking averages across regions in one country. It is important to stress that virtually all our data stem from urban areas. This can make some difference. For example, in France in 1930 the hourly wage rate of a cabinet maker in Paris was 6.75 francs, versus 5.32 francs in the provincial cities. However, this qualification is less applicable to the case of the building labourers used in this chapter. The wage rate in Paris in 1930 for these labourers was, at 4.17 francs an hour, identical to the rate in provincial cities. Similar observations can be made for the developing economies. Third, arriving at a consistent dataset required a conversion into common units. As already mentioned, for prices this problem is less severe, since most prices are standard retail price data. However, wages can be reported in average rates, minimum or maximum rates, or earnings. Considering only the ILO data, it appears that 70% of the data concern average wage rates or comparable data, minimum rates and maximum rates account for 15% and 0.7% respectively, while earnings comprise the remaining 14% of observations. We followed the procedure of Freeman and Oostendorp (2001) and converted all data into average rates, because this reduces the error margin. This conversion was done using a regression analysis in which we regressed the wage on dummy variables, indicating country, industry, pay concept and time. This was necessary only for the period prior to 1984, since data from the later period were obtained from Oostendorp (2011), and were already converted into average rates. Finally, we converted all wages into daily rates; wages from the ILO were reported as hourly rates, and we have assumed an eight-hour working day for all countries throughout the entire time period. While it is clear that this assumption does not hold, consistent data on working hours per country per year have not yet been gathered. Future research may help to adjust our calculated real wage rates by providing information on working hours.</w:t>
      </w:r>
    </w:p>
    <w:p w:rsidR="00CF30C8" w:rsidRPr="00CF30C8" w:rsidRDefault="00CF30C8" w:rsidP="00CF30C8">
      <w:pPr>
        <w:tabs>
          <w:tab w:val="left" w:pos="850"/>
          <w:tab w:val="left" w:pos="1191"/>
          <w:tab w:val="left" w:pos="1531"/>
        </w:tabs>
        <w:spacing w:after="240"/>
        <w:ind w:firstLine="442"/>
        <w:jc w:val="both"/>
        <w:rPr>
          <w:rFonts w:eastAsia="Times New Roman" w:cs="Times New Roman"/>
          <w:lang w:val="en-GB" w:eastAsia="zh-CN"/>
        </w:rPr>
      </w:pPr>
      <w:r w:rsidRPr="00CF30C8">
        <w:rPr>
          <w:rFonts w:eastAsia="Times New Roman" w:cs="Times New Roman"/>
          <w:lang w:val="en-GB" w:eastAsia="zh-CN"/>
        </w:rPr>
        <w:t>Second, how representative are wage labourers for the general working populace? Allen (2001) found the wage of an unskilled labourer in the building industry to be fairly representative for total wage development in the early modern period. This may have changed in the modern period and may differ per country. It has been argued that since the start of the 20</w:t>
      </w:r>
      <w:r w:rsidRPr="00CF30C8">
        <w:rPr>
          <w:rFonts w:eastAsia="Times New Roman" w:cs="Times New Roman"/>
          <w:vertAlign w:val="superscript"/>
          <w:lang w:val="en-GB" w:eastAsia="zh-CN"/>
        </w:rPr>
        <w:t xml:space="preserve">th </w:t>
      </w:r>
      <w:r w:rsidRPr="00CF30C8">
        <w:rPr>
          <w:rFonts w:eastAsia="Times New Roman" w:cs="Times New Roman"/>
          <w:lang w:val="en-GB" w:eastAsia="zh-CN"/>
        </w:rPr>
        <w:t>century in certain, especially developed countries, what has driven economic development is skills. In this case one might expect that it would be skilled wages rather than unskilled wages that mainly reflected general wage development. Table 4.3 reports the population-weighted wages of building labourers and craftsmen in the world. We can see that the skill premium over the past 60 years underwent a major decline, suggesting that the supply of skills in this field outpaced the demand. On the one hand, this was caused by the educational revolution during this period and, on the other, by the increasing development of technology in our societies, which has led to a reduction of the role of skilled building labour in favour of skilled people in services and mechanical engineering. More research into this issue is necessary. Yet for now we suggest that, when comparing wages globally, the most meaningful baseline is unskilled male wages in the building industry.</w:t>
      </w:r>
    </w:p>
    <w:p w:rsidR="00CF30C8" w:rsidRPr="00CF30C8" w:rsidRDefault="00CF30C8" w:rsidP="00CF30C8">
      <w:pPr>
        <w:tabs>
          <w:tab w:val="left" w:pos="850"/>
          <w:tab w:val="left" w:pos="1191"/>
          <w:tab w:val="left" w:pos="1531"/>
        </w:tabs>
        <w:spacing w:after="240"/>
        <w:ind w:firstLine="442"/>
        <w:jc w:val="both"/>
        <w:rPr>
          <w:rFonts w:eastAsia="Times New Roman" w:cs="Times New Roman"/>
          <w:lang w:val="en-GB" w:eastAsia="zh-CN"/>
        </w:rPr>
      </w:pPr>
      <w:r w:rsidRPr="00CF30C8">
        <w:rPr>
          <w:rFonts w:eastAsia="Times New Roman" w:cs="Times New Roman"/>
          <w:szCs w:val="24"/>
          <w:lang w:val="en-GB" w:eastAsia="zh-CN"/>
        </w:rPr>
        <w:t xml:space="preserve">Third, </w:t>
      </w:r>
      <w:r w:rsidRPr="00CF30C8">
        <w:rPr>
          <w:rFonts w:eastAsia="Times New Roman" w:cs="Times New Roman"/>
          <w:lang w:val="en-GB" w:eastAsia="zh-CN"/>
        </w:rPr>
        <w:t>in many pre-industrial developing economies, wage income is often only a small part of total household income. Only a part of the labour force was engaged in full-time wage employment. However, it is clear that the share of the population in paid employment has increased over the past 200 years.</w:t>
      </w:r>
      <w:r w:rsidRPr="00CF30C8">
        <w:rPr>
          <w:rFonts w:eastAsia="Times New Roman" w:cs="Arial"/>
          <w:szCs w:val="24"/>
          <w:vertAlign w:val="superscript"/>
          <w:lang w:val="en-GB" w:eastAsia="zh-CN"/>
        </w:rPr>
        <w:endnoteReference w:id="4"/>
      </w:r>
      <w:r w:rsidRPr="00CF30C8">
        <w:rPr>
          <w:rFonts w:eastAsia="Times New Roman" w:cs="Times New Roman"/>
          <w:lang w:val="en-GB" w:eastAsia="zh-CN"/>
        </w:rPr>
        <w:t xml:space="preserve"> But even in the 21</w:t>
      </w:r>
      <w:r w:rsidRPr="00CF30C8">
        <w:rPr>
          <w:rFonts w:eastAsia="Times New Roman" w:cs="Times New Roman"/>
          <w:vertAlign w:val="superscript"/>
          <w:lang w:val="en-GB" w:eastAsia="zh-CN"/>
        </w:rPr>
        <w:t>st</w:t>
      </w:r>
      <w:r w:rsidRPr="00CF30C8">
        <w:rPr>
          <w:rFonts w:eastAsia="Times New Roman" w:cs="Times New Roman"/>
          <w:lang w:val="en-GB" w:eastAsia="zh-CN"/>
        </w:rPr>
        <w:t xml:space="preserve"> century the share of wage employment clearly can differ by region. Whilst in Europe around 80 per cent of the working population is in wage labour, in Sub-Saharan Africa this holds for only about 20/30 per cent (World Bank Development Report, Chap. 1, 2013).</w:t>
      </w:r>
      <w:r w:rsidRPr="00CF30C8" w:rsidDel="00006E3E">
        <w:rPr>
          <w:rFonts w:eastAsia="Times New Roman" w:cs="Times New Roman"/>
          <w:lang w:val="en-GB" w:eastAsia="zh-CN"/>
        </w:rPr>
        <w:t xml:space="preserve"> </w:t>
      </w:r>
      <w:r w:rsidRPr="00CF30C8">
        <w:rPr>
          <w:rFonts w:eastAsia="Times New Roman" w:cs="Times New Roman"/>
          <w:lang w:val="en-GB" w:eastAsia="zh-CN"/>
        </w:rPr>
        <w:t>It is important to keep these limitations in mind when reviewing these data.</w:t>
      </w:r>
    </w:p>
    <w:p w:rsidR="00CF30C8" w:rsidRPr="00CF30C8" w:rsidRDefault="00CF30C8" w:rsidP="00417558">
      <w:pPr>
        <w:rPr>
          <w:lang w:val="en-GB"/>
        </w:rPr>
      </w:pPr>
    </w:p>
    <w:p w:rsidR="00CF30C8" w:rsidRDefault="00F169B2" w:rsidP="00417558">
      <w:pPr>
        <w:rPr>
          <w:lang w:val="en-US"/>
        </w:rPr>
      </w:pPr>
      <w:r>
        <w:rPr>
          <w:lang w:val="en-US"/>
        </w:rPr>
        <w:lastRenderedPageBreak/>
        <w:t>References</w:t>
      </w:r>
    </w:p>
    <w:p w:rsidR="00F169B2" w:rsidRPr="00F169B2" w:rsidRDefault="00F169B2" w:rsidP="00F169B2">
      <w:pPr>
        <w:tabs>
          <w:tab w:val="left" w:pos="850"/>
          <w:tab w:val="left" w:pos="1191"/>
          <w:tab w:val="left" w:pos="1531"/>
        </w:tabs>
        <w:ind w:left="567" w:hanging="567"/>
        <w:rPr>
          <w:rFonts w:eastAsia="Times New Roman" w:cs="Times New Roman"/>
          <w:lang w:val="en-GB" w:eastAsia="zh-CN"/>
        </w:rPr>
      </w:pPr>
      <w:bookmarkStart w:id="0" w:name="_GoBack"/>
      <w:r w:rsidRPr="00F169B2">
        <w:rPr>
          <w:rFonts w:eastAsia="Times New Roman" w:cs="Arial"/>
          <w:lang w:val="en-GB" w:eastAsia="zh-CN"/>
        </w:rPr>
        <w:t xml:space="preserve">Allen, R. C. (2001), “The Great Divergence in European Wages and Prices from the </w:t>
      </w:r>
      <w:r w:rsidRPr="00F169B2">
        <w:rPr>
          <w:rFonts w:eastAsia="Times New Roman" w:cs="Times New Roman"/>
          <w:lang w:val="en-GB" w:eastAsia="zh-CN"/>
        </w:rPr>
        <w:t xml:space="preserve">Middle Ages to the First World War”, </w:t>
      </w:r>
      <w:r w:rsidRPr="00F169B2">
        <w:rPr>
          <w:rFonts w:eastAsia="Times New Roman" w:cs="Times New Roman"/>
          <w:i/>
          <w:iCs/>
          <w:lang w:val="en-GB" w:eastAsia="zh-CN"/>
        </w:rPr>
        <w:t>Explorations in Economic History</w:t>
      </w:r>
      <w:r w:rsidRPr="00F169B2">
        <w:rPr>
          <w:rFonts w:eastAsia="Times New Roman" w:cs="Times New Roman"/>
          <w:lang w:val="en-GB" w:eastAsia="zh-CN"/>
        </w:rPr>
        <w:t xml:space="preserve"> 38, pp. 411-447.</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Times New Roman"/>
          <w:lang w:val="en-GB" w:eastAsia="zh-CN"/>
        </w:rPr>
        <w:t>Allen, R. C. (2005), Real Wages in Europe and Asia: A First Look at the Long-term Patterns.</w:t>
      </w:r>
      <w:r w:rsidRPr="00F169B2">
        <w:rPr>
          <w:rFonts w:eastAsia="Times New Roman" w:cs="Arial"/>
          <w:lang w:val="en-GB" w:eastAsia="zh-CN"/>
        </w:rPr>
        <w:t xml:space="preserve"> In: R. C. Allen, T. Bengtsson, and M. Dribe (eds.), </w:t>
      </w:r>
      <w:r w:rsidRPr="00F169B2">
        <w:rPr>
          <w:rFonts w:eastAsia="Times New Roman" w:cs="Arial"/>
          <w:i/>
          <w:iCs/>
          <w:lang w:val="en-GB" w:eastAsia="zh-CN"/>
        </w:rPr>
        <w:t xml:space="preserve">Living Standards in the Past New Perspectives on Well-Being in Asia and Europe. </w:t>
      </w:r>
      <w:r w:rsidRPr="00F169B2">
        <w:rPr>
          <w:rFonts w:eastAsia="Times New Roman" w:cs="Arial"/>
          <w:lang w:val="en-GB" w:eastAsia="zh-CN"/>
        </w:rPr>
        <w:t>Oxford: Oxford University Press, pp. 157-185.</w:t>
      </w:r>
    </w:p>
    <w:p w:rsidR="00F169B2" w:rsidRPr="00F169B2" w:rsidRDefault="00F169B2" w:rsidP="00F169B2">
      <w:pPr>
        <w:tabs>
          <w:tab w:val="left" w:pos="850"/>
          <w:tab w:val="left" w:pos="1191"/>
          <w:tab w:val="left" w:pos="1531"/>
        </w:tabs>
        <w:ind w:left="567" w:hanging="567"/>
        <w:rPr>
          <w:rFonts w:eastAsia="Times New Roman" w:cs="Arial"/>
          <w:iCs/>
          <w:lang w:val="en-GB" w:eastAsia="zh-CN"/>
        </w:rPr>
      </w:pPr>
      <w:r w:rsidRPr="00F169B2">
        <w:rPr>
          <w:rFonts w:eastAsia="Times New Roman" w:cs="Arial"/>
          <w:lang w:val="en-GB" w:eastAsia="zh-CN"/>
        </w:rPr>
        <w:t xml:space="preserve">Allen, R. C. et al </w:t>
      </w:r>
      <w:r w:rsidRPr="00F169B2">
        <w:rPr>
          <w:rFonts w:eastAsia="Times New Roman" w:cs="Arial"/>
          <w:iCs/>
          <w:lang w:val="en-GB" w:eastAsia="zh-CN"/>
        </w:rPr>
        <w:t xml:space="preserve">(2011), </w:t>
      </w:r>
      <w:r w:rsidRPr="00F169B2">
        <w:rPr>
          <w:rFonts w:eastAsia="Times New Roman" w:cs="Arial"/>
          <w:lang w:val="en-GB" w:eastAsia="zh-CN"/>
        </w:rPr>
        <w:t xml:space="preserve">“Wages, Prices, and Living Standards in China, 1738-1925: In Comparison with Europe, Japan, and India”, </w:t>
      </w:r>
      <w:r w:rsidRPr="00F169B2">
        <w:rPr>
          <w:rFonts w:eastAsia="Times New Roman" w:cs="Arial"/>
          <w:i/>
          <w:iCs/>
          <w:lang w:val="en-GB" w:eastAsia="zh-CN"/>
        </w:rPr>
        <w:t xml:space="preserve">Economic History Review, </w:t>
      </w:r>
      <w:r w:rsidRPr="00F169B2">
        <w:rPr>
          <w:rFonts w:eastAsia="Times New Roman" w:cs="Arial"/>
          <w:iCs/>
          <w:lang w:val="en-GB" w:eastAsia="zh-CN"/>
        </w:rPr>
        <w:t>Vol.</w:t>
      </w:r>
      <w:r w:rsidRPr="00F169B2">
        <w:rPr>
          <w:rFonts w:eastAsia="Times New Roman" w:cs="Arial"/>
          <w:i/>
          <w:iCs/>
          <w:lang w:val="en-GB" w:eastAsia="zh-CN"/>
        </w:rPr>
        <w:t xml:space="preserve"> </w:t>
      </w:r>
      <w:r w:rsidRPr="00F169B2">
        <w:rPr>
          <w:rFonts w:eastAsia="Times New Roman" w:cs="Arial"/>
          <w:iCs/>
          <w:lang w:val="en-GB" w:eastAsia="zh-CN"/>
        </w:rPr>
        <w:t>64, pp. 8-38.</w:t>
      </w:r>
    </w:p>
    <w:p w:rsidR="00F169B2" w:rsidRPr="00F169B2" w:rsidRDefault="00F169B2" w:rsidP="00F169B2">
      <w:pPr>
        <w:tabs>
          <w:tab w:val="left" w:pos="850"/>
          <w:tab w:val="left" w:pos="1191"/>
          <w:tab w:val="left" w:pos="1531"/>
        </w:tabs>
        <w:ind w:left="567" w:hanging="567"/>
        <w:rPr>
          <w:rFonts w:eastAsia="Times New Roman" w:cs="Arial"/>
          <w:iCs/>
          <w:lang w:val="es-ES" w:eastAsia="zh-CN"/>
        </w:rPr>
      </w:pPr>
      <w:r w:rsidRPr="00F169B2">
        <w:rPr>
          <w:rFonts w:eastAsia="Times New Roman" w:cs="Arial"/>
          <w:iCs/>
          <w:lang w:val="es-ES" w:eastAsia="zh-CN"/>
        </w:rPr>
        <w:t xml:space="preserve">Arroyo Abad, L. (2013), “Inestabilidad, Bienestar Económico y Costo de Vida en Venezuela durante el siglo XIX”, </w:t>
      </w:r>
      <w:r w:rsidRPr="00F169B2">
        <w:rPr>
          <w:rFonts w:eastAsia="Times New Roman" w:cs="Arial"/>
          <w:i/>
          <w:lang w:val="es-ES" w:eastAsia="zh-CN"/>
        </w:rPr>
        <w:t>América Latina en la Historia Económica</w:t>
      </w:r>
      <w:r w:rsidRPr="00F169B2">
        <w:rPr>
          <w:rFonts w:eastAsia="Times New Roman" w:cs="Arial"/>
          <w:iCs/>
          <w:lang w:val="es-ES" w:eastAsia="zh-CN"/>
        </w:rPr>
        <w:t>, Vol. 20/, pp. 114-137.</w:t>
      </w:r>
    </w:p>
    <w:p w:rsidR="00F169B2" w:rsidRPr="00F169B2" w:rsidRDefault="00F169B2" w:rsidP="00F169B2">
      <w:pPr>
        <w:tabs>
          <w:tab w:val="left" w:pos="850"/>
          <w:tab w:val="left" w:pos="1191"/>
          <w:tab w:val="left" w:pos="1531"/>
        </w:tabs>
        <w:ind w:left="567" w:hanging="567"/>
        <w:rPr>
          <w:rFonts w:eastAsia="Times New Roman" w:cs="Arial"/>
          <w:iCs/>
          <w:lang w:val="en-GB" w:eastAsia="zh-CN"/>
        </w:rPr>
      </w:pPr>
      <w:r w:rsidRPr="00F169B2">
        <w:rPr>
          <w:rFonts w:eastAsia="Times New Roman" w:cs="Arial"/>
          <w:iCs/>
          <w:lang w:val="en-GB" w:eastAsia="zh-CN"/>
        </w:rPr>
        <w:t xml:space="preserve">Arroyo Abad, L., E. Davies and J. L. van Zanden, (2012) “Between conquest and independence: Real wages and demographic change in Spanish America, 1530–1820”, </w:t>
      </w:r>
      <w:r w:rsidRPr="00F169B2">
        <w:rPr>
          <w:rFonts w:eastAsia="Times New Roman" w:cs="Arial"/>
          <w:i/>
          <w:iCs/>
          <w:lang w:val="en-GB" w:eastAsia="zh-CN"/>
        </w:rPr>
        <w:t>Explorations in Economic History</w:t>
      </w:r>
      <w:r w:rsidRPr="00F169B2">
        <w:rPr>
          <w:rFonts w:eastAsia="Times New Roman" w:cs="Arial"/>
          <w:iCs/>
          <w:lang w:val="en-GB" w:eastAsia="zh-CN"/>
        </w:rPr>
        <w:t xml:space="preserve"> 49, pp. 149-166.</w:t>
      </w:r>
    </w:p>
    <w:p w:rsidR="00F169B2" w:rsidRPr="00F169B2" w:rsidRDefault="00F169B2" w:rsidP="00F169B2">
      <w:pPr>
        <w:tabs>
          <w:tab w:val="left" w:pos="850"/>
          <w:tab w:val="left" w:pos="1191"/>
          <w:tab w:val="left" w:pos="1531"/>
        </w:tabs>
        <w:ind w:left="567" w:hanging="567"/>
        <w:rPr>
          <w:rFonts w:eastAsia="Times New Roman" w:cs="Arial"/>
          <w:bCs/>
          <w:lang w:val="en-GB" w:eastAsia="zh-CN"/>
        </w:rPr>
      </w:pPr>
      <w:r w:rsidRPr="00F169B2">
        <w:rPr>
          <w:rFonts w:eastAsia="Times New Roman" w:cs="Arial"/>
          <w:iCs/>
          <w:lang w:val="en-GB" w:eastAsia="zh-CN"/>
        </w:rPr>
        <w:t>Bassino, J-P, and D. Ma, (2005) “Japanese unskilled wages in international perspective, 1741-1913”</w:t>
      </w:r>
      <w:r w:rsidRPr="00F169B2">
        <w:rPr>
          <w:rFonts w:eastAsia="Times New Roman" w:cs="Arial"/>
          <w:i/>
          <w:iCs/>
          <w:lang w:val="en-GB" w:eastAsia="zh-CN"/>
        </w:rPr>
        <w:t>, Research in Economic History.</w:t>
      </w:r>
      <w:r w:rsidRPr="00F169B2">
        <w:rPr>
          <w:rFonts w:eastAsia="Times New Roman" w:cs="Arial"/>
          <w:iCs/>
          <w:lang w:val="en-GB" w:eastAsia="zh-CN"/>
        </w:rPr>
        <w:t xml:space="preserve"> </w:t>
      </w:r>
      <w:r w:rsidRPr="00F169B2">
        <w:rPr>
          <w:rFonts w:eastAsia="Times New Roman" w:cs="Arial"/>
          <w:bCs/>
          <w:lang w:val="en-GB" w:eastAsia="zh-CN"/>
        </w:rPr>
        <w:t>Broadberry, S., Campbell, B., Klein, A., Overton, M. and Leeuwen, B. van, (2012) “</w:t>
      </w:r>
      <w:r w:rsidRPr="00F169B2">
        <w:rPr>
          <w:rFonts w:eastAsia="Times New Roman" w:cs="Arial"/>
          <w:lang w:val="en-GB" w:eastAsia="zh-CN"/>
        </w:rPr>
        <w:t>British Economic Growth, 1270-1870: an output-based</w:t>
      </w:r>
      <w:r w:rsidRPr="00F169B2">
        <w:rPr>
          <w:rFonts w:eastAsia="Times New Roman" w:cs="Arial"/>
          <w:bCs/>
          <w:lang w:val="en-GB" w:eastAsia="zh-CN"/>
        </w:rPr>
        <w:t xml:space="preserve"> approach”, </w:t>
      </w:r>
      <w:r w:rsidRPr="00F169B2">
        <w:rPr>
          <w:rFonts w:eastAsia="Times New Roman" w:cs="Arial"/>
          <w:bCs/>
          <w:i/>
          <w:lang w:val="en-GB" w:eastAsia="zh-CN"/>
        </w:rPr>
        <w:t>Studies in Economics</w:t>
      </w:r>
      <w:r w:rsidRPr="00F169B2">
        <w:rPr>
          <w:rFonts w:eastAsia="Times New Roman" w:cs="Arial"/>
          <w:bCs/>
          <w:lang w:val="en-GB" w:eastAsia="zh-CN"/>
        </w:rPr>
        <w:t xml:space="preserve"> 1203, Department of Economics, University of Kent.</w:t>
      </w:r>
    </w:p>
    <w:p w:rsidR="00F169B2" w:rsidRPr="00F169B2" w:rsidRDefault="00F169B2" w:rsidP="00F169B2">
      <w:pPr>
        <w:tabs>
          <w:tab w:val="left" w:pos="850"/>
          <w:tab w:val="left" w:pos="1191"/>
          <w:tab w:val="left" w:pos="1531"/>
        </w:tabs>
        <w:ind w:left="567" w:hanging="567"/>
        <w:rPr>
          <w:rFonts w:eastAsia="Times New Roman" w:cs="Arial"/>
          <w:bCs/>
          <w:lang w:val="en-GB" w:eastAsia="zh-CN"/>
        </w:rPr>
      </w:pPr>
      <w:r w:rsidRPr="00F169B2">
        <w:rPr>
          <w:rFonts w:eastAsia="Times New Roman" w:cs="Arial"/>
          <w:bCs/>
          <w:lang w:val="en-GB" w:eastAsia="zh-CN"/>
        </w:rPr>
        <w:t xml:space="preserve">Cha, M. S. “Wages in the Japanese colonial empire (Taiwan, Korea and Northeastern China).” </w:t>
      </w:r>
      <w:r w:rsidRPr="00F169B2">
        <w:rPr>
          <w:rFonts w:eastAsia="Times New Roman" w:cs="Arial"/>
          <w:bCs/>
          <w:i/>
          <w:iCs/>
          <w:lang w:val="en-GB" w:eastAsia="zh-CN"/>
        </w:rPr>
        <w:t>Mimeo</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 xml:space="preserve">de Zwart, P. (2011) “South African Living Standards in Global Perspective, 1835-1910”, </w:t>
      </w:r>
      <w:r w:rsidRPr="00F169B2">
        <w:rPr>
          <w:rFonts w:eastAsia="Times New Roman" w:cs="Arial"/>
          <w:i/>
          <w:lang w:val="en-GB" w:eastAsia="zh-CN"/>
        </w:rPr>
        <w:t>Economic History of Developing Regions</w:t>
      </w:r>
      <w:r w:rsidRPr="00F169B2">
        <w:rPr>
          <w:rFonts w:eastAsia="Times New Roman" w:cs="Arial"/>
          <w:lang w:val="en-GB" w:eastAsia="zh-CN"/>
        </w:rPr>
        <w:t xml:space="preserve"> 26, pp. 49-74. </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 xml:space="preserve">de Zwart, P. and J. L. van Zanden (2012), “Labour, wages and living standards in Java, 1640-1940”, Presentation at the </w:t>
      </w:r>
      <w:r w:rsidRPr="00F169B2">
        <w:rPr>
          <w:rFonts w:eastAsia="Times New Roman" w:cs="Arial"/>
          <w:i/>
          <w:lang w:val="en-GB" w:eastAsia="zh-CN"/>
        </w:rPr>
        <w:t xml:space="preserve">CLIO-INFRA Workshop on Real Wages, </w:t>
      </w:r>
      <w:r w:rsidRPr="00F169B2">
        <w:rPr>
          <w:rFonts w:eastAsia="Times New Roman" w:cs="Arial"/>
          <w:lang w:val="en-GB" w:eastAsia="zh-CN"/>
        </w:rPr>
        <w:t>International Institute of Social History, Amsterdam. November.</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 xml:space="preserve">Frankema, E. and M. van Waijenburg, (2012), “Structural impediments to African growth? New evidence from real wages in British Africa, 1880-1965”, </w:t>
      </w:r>
      <w:r w:rsidRPr="00F169B2">
        <w:rPr>
          <w:rFonts w:eastAsia="Times New Roman" w:cs="Arial"/>
          <w:i/>
          <w:lang w:val="en-GB" w:eastAsia="zh-CN"/>
        </w:rPr>
        <w:t xml:space="preserve">Journal of Economic History, </w:t>
      </w:r>
      <w:r w:rsidRPr="00F169B2">
        <w:rPr>
          <w:rFonts w:eastAsia="Times New Roman" w:cs="Arial"/>
          <w:lang w:val="en-GB" w:eastAsia="zh-CN"/>
        </w:rPr>
        <w:t>Vol. 72/4, pp. 895-926.</w:t>
      </w:r>
    </w:p>
    <w:p w:rsidR="00F169B2" w:rsidRPr="00F169B2" w:rsidRDefault="00F169B2" w:rsidP="00F169B2">
      <w:pPr>
        <w:tabs>
          <w:tab w:val="left" w:pos="850"/>
          <w:tab w:val="left" w:pos="1191"/>
          <w:tab w:val="left" w:pos="1531"/>
        </w:tabs>
        <w:ind w:left="567" w:hanging="567"/>
        <w:rPr>
          <w:rFonts w:eastAsia="Times New Roman" w:cs="Times New Roman"/>
          <w:lang w:val="en-GB" w:eastAsia="zh-CN"/>
        </w:rPr>
      </w:pPr>
      <w:r w:rsidRPr="00F169B2">
        <w:rPr>
          <w:rFonts w:eastAsia="Times New Roman" w:cs="Arial"/>
          <w:lang w:val="en-GB" w:eastAsia="zh-CN"/>
        </w:rPr>
        <w:t xml:space="preserve">Freeman, R.B. and R.H. Oostendorp (2001), “The Occupational Wages around the World Data File”, ILO </w:t>
      </w:r>
      <w:r w:rsidRPr="00F169B2">
        <w:rPr>
          <w:rFonts w:eastAsia="Times New Roman" w:cs="Times New Roman"/>
          <w:lang w:val="en-GB" w:eastAsia="zh-CN"/>
        </w:rPr>
        <w:t>Labour Review, 2001, Fall Issue.</w:t>
      </w:r>
    </w:p>
    <w:p w:rsidR="00F169B2" w:rsidRPr="00F169B2" w:rsidRDefault="00F169B2" w:rsidP="00F169B2">
      <w:pPr>
        <w:tabs>
          <w:tab w:val="left" w:pos="850"/>
          <w:tab w:val="left" w:pos="1191"/>
          <w:tab w:val="left" w:pos="1531"/>
        </w:tabs>
        <w:ind w:left="567" w:hanging="567"/>
        <w:rPr>
          <w:rFonts w:eastAsia="Times New Roman" w:cs="Times New Roman"/>
          <w:lang w:val="de-DE" w:eastAsia="zh-CN"/>
        </w:rPr>
      </w:pPr>
      <w:r w:rsidRPr="00F169B2">
        <w:rPr>
          <w:rFonts w:eastAsia="Times New Roman" w:cs="Times New Roman"/>
          <w:lang w:val="de-DE" w:eastAsia="zh-CN"/>
        </w:rPr>
        <w:t>Harsch, D. and J. Kleinert, (2011),  "</w:t>
      </w:r>
      <w:hyperlink r:id="rId7" w:history="1">
        <w:r w:rsidRPr="00F169B2">
          <w:rPr>
            <w:rFonts w:eastAsia="Times New Roman" w:cs="Times New Roman"/>
            <w:bCs/>
            <w:lang w:val="de-DE" w:eastAsia="zh-CN"/>
          </w:rPr>
          <w:t>An Almost Ideal Wage Database Harmonizing the ILO October Inquiry</w:t>
        </w:r>
      </w:hyperlink>
      <w:r w:rsidRPr="00F169B2">
        <w:rPr>
          <w:rFonts w:eastAsia="Times New Roman" w:cs="Times New Roman"/>
          <w:lang w:val="de-DE" w:eastAsia="zh-CN"/>
        </w:rPr>
        <w:t xml:space="preserve">," </w:t>
      </w:r>
      <w:hyperlink r:id="rId8" w:history="1">
        <w:r w:rsidRPr="00F169B2">
          <w:rPr>
            <w:rFonts w:eastAsia="Times New Roman" w:cs="Times New Roman"/>
            <w:i/>
            <w:lang w:val="de-DE" w:eastAsia="zh-CN"/>
          </w:rPr>
          <w:t>IAW Discussion Papers</w:t>
        </w:r>
      </w:hyperlink>
      <w:r w:rsidRPr="00F169B2">
        <w:rPr>
          <w:rFonts w:eastAsia="Times New Roman" w:cs="Times New Roman"/>
          <w:lang w:val="de-DE" w:eastAsia="zh-CN"/>
        </w:rPr>
        <w:t xml:space="preserve"> 71, Institut für Angewandte Wirtschaftsforschung (IAW).</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Times New Roman"/>
          <w:lang w:val="en-GB" w:eastAsia="zh-CN"/>
        </w:rPr>
        <w:t xml:space="preserve">ILO (International Labour Organization, </w:t>
      </w:r>
      <w:r w:rsidRPr="00F169B2">
        <w:rPr>
          <w:rFonts w:eastAsia="Times New Roman" w:cs="Times New Roman"/>
          <w:i/>
          <w:lang w:val="en-GB" w:eastAsia="zh-CN"/>
        </w:rPr>
        <w:t>Laborsta</w:t>
      </w:r>
      <w:r w:rsidRPr="00F169B2">
        <w:rPr>
          <w:rFonts w:eastAsia="Times New Roman" w:cs="Times New Roman"/>
          <w:lang w:val="en-GB" w:eastAsia="zh-CN"/>
        </w:rPr>
        <w:t xml:space="preserve">, </w:t>
      </w:r>
      <w:hyperlink r:id="rId9" w:history="1">
        <w:r w:rsidRPr="00F169B2">
          <w:rPr>
            <w:rFonts w:eastAsia="Times New Roman" w:cs="Times New Roman"/>
            <w:color w:val="0000FF"/>
            <w:u w:val="single"/>
            <w:lang w:val="en-GB" w:eastAsia="zh-CN"/>
          </w:rPr>
          <w:t>http://laborsta.ilo.org/</w:t>
        </w:r>
      </w:hyperlink>
      <w:r w:rsidRPr="00F169B2">
        <w:rPr>
          <w:rFonts w:eastAsia="Times New Roman" w:cs="Times New Roman"/>
          <w:lang w:val="en-GB" w:eastAsia="zh-CN"/>
        </w:rPr>
        <w:t xml:space="preserve"> (accessed 2013).</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 xml:space="preserve">Leeuwen, B. (2007), </w:t>
      </w:r>
      <w:r w:rsidRPr="00F169B2">
        <w:rPr>
          <w:rFonts w:eastAsia="Times New Roman" w:cs="Arial"/>
          <w:i/>
          <w:lang w:val="en-GB" w:eastAsia="zh-CN"/>
        </w:rPr>
        <w:t xml:space="preserve">Human capital and economic growth in India, Indonesia and Japan: a quantitative analysis, </w:t>
      </w:r>
      <w:r w:rsidRPr="00F169B2">
        <w:rPr>
          <w:rFonts w:eastAsia="Times New Roman" w:cs="Arial"/>
          <w:lang w:val="en-GB" w:eastAsia="zh-CN"/>
        </w:rPr>
        <w:t>PhD thesis Utrecht University.</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 xml:space="preserve">Leeuwen, B. (2004) “Wage differentials and economic growth in India, Indonesia, and Japan, 1800-2000”, </w:t>
      </w:r>
      <w:r w:rsidRPr="00F169B2">
        <w:rPr>
          <w:rFonts w:eastAsia="Times New Roman" w:cs="Arial"/>
          <w:i/>
          <w:lang w:val="en-GB" w:eastAsia="zh-CN"/>
        </w:rPr>
        <w:t>Mimeo</w:t>
      </w:r>
      <w:r w:rsidRPr="00F169B2">
        <w:rPr>
          <w:rFonts w:eastAsia="Times New Roman" w:cs="Arial"/>
          <w:lang w:val="en-GB" w:eastAsia="zh-CN"/>
        </w:rPr>
        <w:t>.</w:t>
      </w:r>
    </w:p>
    <w:p w:rsidR="00F169B2" w:rsidRPr="00F169B2" w:rsidRDefault="00F169B2" w:rsidP="00F169B2">
      <w:pPr>
        <w:tabs>
          <w:tab w:val="left" w:pos="850"/>
          <w:tab w:val="left" w:pos="1191"/>
          <w:tab w:val="left" w:pos="1531"/>
        </w:tabs>
        <w:ind w:left="567" w:hanging="567"/>
        <w:rPr>
          <w:rFonts w:eastAsia="SimSun" w:cs="Arial"/>
          <w:lang w:val="en-GB" w:eastAsia="zh-CN" w:bidi="en-US"/>
        </w:rPr>
      </w:pPr>
      <w:r w:rsidRPr="00F169B2">
        <w:rPr>
          <w:rFonts w:eastAsia="SimSun" w:cs="Arial"/>
          <w:lang w:val="en-GB" w:eastAsia="zh-CN" w:bidi="en-US"/>
        </w:rPr>
        <w:t xml:space="preserve">Mitchell, M. F. (2007) </w:t>
      </w:r>
      <w:r w:rsidRPr="00F169B2">
        <w:rPr>
          <w:rFonts w:eastAsia="SimSun" w:cs="Arial"/>
          <w:i/>
          <w:lang w:val="en-GB" w:eastAsia="zh-CN" w:bidi="en-US"/>
        </w:rPr>
        <w:t>International historical statistics</w:t>
      </w:r>
      <w:r w:rsidRPr="00F169B2">
        <w:rPr>
          <w:rFonts w:eastAsia="SimSun" w:cs="Arial"/>
          <w:lang w:val="en-GB" w:eastAsia="zh-CN" w:bidi="en-US"/>
        </w:rPr>
        <w:t>. Palgrave Macmillan, 6th Edition.</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 xml:space="preserve">Oostendorp, R.H. (2005): "The Standardized ILO October Inquiry 1983-2003”, </w:t>
      </w:r>
      <w:hyperlink r:id="rId10" w:history="1">
        <w:r w:rsidRPr="00F169B2">
          <w:rPr>
            <w:rFonts w:eastAsia="Times New Roman" w:cs="Arial"/>
            <w:color w:val="0000FF"/>
            <w:u w:val="single"/>
            <w:lang w:val="en-GB" w:eastAsia="zh-CN"/>
          </w:rPr>
          <w:t>www.nber.org/oww/Technical_document_1983-2003_standardizationv3.pdf</w:t>
        </w:r>
      </w:hyperlink>
      <w:r w:rsidRPr="00F169B2">
        <w:rPr>
          <w:rFonts w:eastAsia="Times New Roman" w:cs="Arial"/>
          <w:lang w:val="en-GB" w:eastAsia="zh-CN"/>
        </w:rPr>
        <w:t xml:space="preserve">. </w:t>
      </w:r>
    </w:p>
    <w:p w:rsidR="00F169B2" w:rsidRPr="00F169B2" w:rsidRDefault="00F169B2" w:rsidP="00F169B2">
      <w:pPr>
        <w:tabs>
          <w:tab w:val="left" w:pos="850"/>
          <w:tab w:val="left" w:pos="1191"/>
          <w:tab w:val="left" w:pos="1531"/>
        </w:tabs>
        <w:ind w:left="567" w:hanging="567"/>
        <w:rPr>
          <w:rFonts w:eastAsia="Times New Roman" w:cs="Arial"/>
          <w:lang w:val="en-GB" w:eastAsia="zh-CN"/>
        </w:rPr>
      </w:pPr>
      <w:r w:rsidRPr="00F169B2">
        <w:rPr>
          <w:rFonts w:eastAsia="Times New Roman" w:cs="Arial"/>
          <w:lang w:val="en-GB" w:eastAsia="zh-CN"/>
        </w:rPr>
        <w:t>Oostendorp, R.H. (2012), “The Occupational Wages around the World (OWW) Database: Update for 1983-2008, NBER.</w:t>
      </w:r>
    </w:p>
    <w:p w:rsidR="00F169B2" w:rsidRPr="00F169B2" w:rsidRDefault="00F169B2" w:rsidP="00F169B2">
      <w:pPr>
        <w:tabs>
          <w:tab w:val="left" w:pos="850"/>
          <w:tab w:val="left" w:pos="1191"/>
          <w:tab w:val="left" w:pos="1531"/>
        </w:tabs>
        <w:ind w:left="567" w:hanging="567"/>
        <w:rPr>
          <w:rFonts w:eastAsia="Times New Roman" w:cs="Times New Roman"/>
          <w:lang w:val="en-GB" w:eastAsia="zh-CN"/>
        </w:rPr>
      </w:pPr>
      <w:r w:rsidRPr="00F169B2">
        <w:rPr>
          <w:rFonts w:eastAsia="Times New Roman" w:cs="Arial"/>
          <w:lang w:val="en-GB" w:eastAsia="zh-CN"/>
        </w:rPr>
        <w:t>Ozmucur, S. and S. Pamuk, (2002), “Real Wages and Standards of Living in the Ottoman Empire, 1489-</w:t>
      </w:r>
      <w:r w:rsidRPr="00F169B2">
        <w:rPr>
          <w:rFonts w:eastAsia="Times New Roman" w:cs="Times New Roman"/>
          <w:lang w:val="en-GB" w:eastAsia="zh-CN"/>
        </w:rPr>
        <w:t xml:space="preserve">1914”, </w:t>
      </w:r>
      <w:r w:rsidRPr="00F169B2">
        <w:rPr>
          <w:rFonts w:eastAsia="Times New Roman" w:cs="Times New Roman"/>
          <w:i/>
          <w:lang w:val="en-GB" w:eastAsia="zh-CN"/>
        </w:rPr>
        <w:t>Journal of Economic History</w:t>
      </w:r>
      <w:r w:rsidRPr="00F169B2">
        <w:rPr>
          <w:rFonts w:eastAsia="Times New Roman" w:cs="Times New Roman"/>
          <w:lang w:val="en-GB" w:eastAsia="zh-CN"/>
        </w:rPr>
        <w:t>, Vol. 62, pp. 293-321.</w:t>
      </w:r>
    </w:p>
    <w:p w:rsidR="00F169B2" w:rsidRPr="00F169B2" w:rsidRDefault="00F169B2" w:rsidP="00F169B2">
      <w:pPr>
        <w:tabs>
          <w:tab w:val="left" w:pos="850"/>
          <w:tab w:val="left" w:pos="1191"/>
          <w:tab w:val="left" w:pos="1531"/>
        </w:tabs>
        <w:ind w:left="567" w:hanging="567"/>
        <w:rPr>
          <w:rFonts w:eastAsia="Times New Roman" w:cs="Times New Roman"/>
          <w:lang w:val="en-GB" w:eastAsia="zh-CN"/>
        </w:rPr>
      </w:pPr>
      <w:r w:rsidRPr="00F169B2">
        <w:rPr>
          <w:rFonts w:eastAsia="Times New Roman" w:cs="Times New Roman"/>
          <w:lang w:val="en-GB" w:eastAsia="zh-CN"/>
        </w:rPr>
        <w:t xml:space="preserve">Scholliers, P. and V. Zamagni (1995). </w:t>
      </w:r>
      <w:r w:rsidRPr="00F169B2">
        <w:rPr>
          <w:rFonts w:eastAsia="Times New Roman" w:cs="Times New Roman"/>
          <w:i/>
          <w:lang w:val="en-GB" w:eastAsia="zh-CN"/>
        </w:rPr>
        <w:t>Labour”s Reward. Real wages and economic change in 19</w:t>
      </w:r>
      <w:r w:rsidRPr="00F169B2">
        <w:rPr>
          <w:rFonts w:eastAsia="Times New Roman" w:cs="Times New Roman"/>
          <w:i/>
          <w:vertAlign w:val="superscript"/>
          <w:lang w:val="en-GB" w:eastAsia="zh-CN"/>
        </w:rPr>
        <w:t>th</w:t>
      </w:r>
      <w:r w:rsidRPr="00F169B2">
        <w:rPr>
          <w:rFonts w:eastAsia="Times New Roman" w:cs="Times New Roman"/>
          <w:i/>
          <w:lang w:val="en-GB" w:eastAsia="zh-CN"/>
        </w:rPr>
        <w:t xml:space="preserve"> and 20</w:t>
      </w:r>
      <w:r w:rsidRPr="00F169B2">
        <w:rPr>
          <w:rFonts w:eastAsia="Times New Roman" w:cs="Times New Roman"/>
          <w:i/>
          <w:vertAlign w:val="superscript"/>
          <w:lang w:val="en-GB" w:eastAsia="zh-CN"/>
        </w:rPr>
        <w:t>th</w:t>
      </w:r>
      <w:r w:rsidRPr="00F169B2">
        <w:rPr>
          <w:rFonts w:eastAsia="Times New Roman" w:cs="Times New Roman"/>
          <w:i/>
          <w:lang w:val="en-GB" w:eastAsia="zh-CN"/>
        </w:rPr>
        <w:t xml:space="preserve"> century Europe</w:t>
      </w:r>
      <w:r w:rsidRPr="00F169B2">
        <w:rPr>
          <w:rFonts w:eastAsia="Times New Roman" w:cs="Times New Roman"/>
          <w:lang w:val="en-GB" w:eastAsia="zh-CN"/>
        </w:rPr>
        <w:t>. Aldershot and Vermont, Edward Elgar.</w:t>
      </w:r>
    </w:p>
    <w:p w:rsidR="00F169B2" w:rsidRPr="00F169B2" w:rsidRDefault="00F169B2" w:rsidP="00F169B2">
      <w:pPr>
        <w:tabs>
          <w:tab w:val="left" w:pos="850"/>
          <w:tab w:val="left" w:pos="1191"/>
          <w:tab w:val="left" w:pos="1531"/>
        </w:tabs>
        <w:ind w:left="567" w:hanging="567"/>
        <w:rPr>
          <w:rFonts w:eastAsia="Times New Roman" w:cs="Times New Roman"/>
          <w:iCs/>
          <w:lang w:val="en-GB" w:eastAsia="zh-CN"/>
        </w:rPr>
      </w:pPr>
      <w:r w:rsidRPr="00F169B2">
        <w:rPr>
          <w:rFonts w:eastAsia="Times New Roman" w:cs="Times New Roman"/>
          <w:i/>
          <w:iCs/>
          <w:lang w:val="en-GB" w:eastAsia="zh-CN"/>
        </w:rPr>
        <w:t>Survey on cities and counties in Guangxi province,</w:t>
      </w:r>
      <w:r w:rsidRPr="00F169B2">
        <w:rPr>
          <w:rFonts w:eastAsia="Times New Roman" w:cs="Times New Roman"/>
          <w:iCs/>
          <w:lang w:val="en-GB" w:eastAsia="zh-CN"/>
        </w:rPr>
        <w:t xml:space="preserve"> Guangxi people press,1985(</w:t>
      </w:r>
      <w:r w:rsidRPr="00F169B2">
        <w:rPr>
          <w:rFonts w:eastAsia="Batang" w:cs="Times New Roman"/>
          <w:iCs/>
          <w:lang w:val="en-GB" w:eastAsia="zh-CN"/>
        </w:rPr>
        <w:t>《广西市</w:t>
      </w:r>
      <w:r w:rsidRPr="00F169B2">
        <w:rPr>
          <w:rFonts w:eastAsia="PMingLiU" w:cs="Times New Roman"/>
          <w:iCs/>
          <w:lang w:val="en-GB" w:eastAsia="zh-CN"/>
        </w:rPr>
        <w:t>县概况》，</w:t>
      </w:r>
      <w:r w:rsidRPr="00F169B2">
        <w:rPr>
          <w:rFonts w:eastAsia="Times New Roman" w:cs="Times New Roman"/>
          <w:iCs/>
          <w:lang w:val="en-GB" w:eastAsia="zh-CN"/>
        </w:rPr>
        <w:t xml:space="preserve"> </w:t>
      </w:r>
      <w:r w:rsidRPr="00F169B2">
        <w:rPr>
          <w:rFonts w:eastAsia="Batang" w:cs="Times New Roman"/>
          <w:iCs/>
          <w:lang w:val="en-GB" w:eastAsia="zh-CN"/>
        </w:rPr>
        <w:t>广西人民出版社</w:t>
      </w:r>
      <w:r w:rsidRPr="00F169B2">
        <w:rPr>
          <w:rFonts w:eastAsia="Times New Roman" w:cs="Times New Roman"/>
          <w:iCs/>
          <w:lang w:val="en-GB" w:eastAsia="zh-CN"/>
        </w:rPr>
        <w:t>1985), p. 551.</w:t>
      </w:r>
    </w:p>
    <w:p w:rsidR="00F169B2" w:rsidRPr="00F169B2" w:rsidRDefault="00F169B2" w:rsidP="00F169B2">
      <w:pPr>
        <w:tabs>
          <w:tab w:val="left" w:pos="850"/>
          <w:tab w:val="left" w:pos="1191"/>
          <w:tab w:val="left" w:pos="1531"/>
        </w:tabs>
        <w:ind w:left="567" w:hanging="567"/>
        <w:rPr>
          <w:rFonts w:eastAsia="Times New Roman" w:cs="Times New Roman"/>
          <w:iCs/>
          <w:lang w:val="en-GB" w:eastAsia="zh-CN"/>
        </w:rPr>
      </w:pPr>
      <w:r w:rsidRPr="00F169B2">
        <w:rPr>
          <w:rFonts w:eastAsia="Times New Roman" w:cs="Times New Roman"/>
          <w:i/>
          <w:iCs/>
          <w:lang w:val="en-GB" w:eastAsia="zh-CN"/>
        </w:rPr>
        <w:t>Yulin City Gazetteer</w:t>
      </w:r>
      <w:r w:rsidRPr="00F169B2">
        <w:rPr>
          <w:rFonts w:eastAsia="Times New Roman" w:cs="Times New Roman"/>
          <w:iCs/>
          <w:lang w:val="en-GB" w:eastAsia="zh-CN"/>
        </w:rPr>
        <w:t>, Guangxi People press 1993. (</w:t>
      </w:r>
      <w:r w:rsidRPr="00F169B2">
        <w:rPr>
          <w:rFonts w:eastAsia="Batang" w:cs="Times New Roman"/>
          <w:iCs/>
          <w:lang w:val="en-GB" w:eastAsia="zh-CN"/>
        </w:rPr>
        <w:t>《玉林市志》，广西人民出版社</w:t>
      </w:r>
      <w:r w:rsidRPr="00F169B2">
        <w:rPr>
          <w:rFonts w:eastAsia="Times New Roman" w:cs="Times New Roman"/>
          <w:iCs/>
          <w:lang w:val="en-GB" w:eastAsia="zh-CN"/>
        </w:rPr>
        <w:t>1993</w:t>
      </w:r>
      <w:r w:rsidRPr="00F169B2">
        <w:rPr>
          <w:rFonts w:eastAsia="Batang" w:cs="Times New Roman"/>
          <w:iCs/>
          <w:lang w:val="en-GB" w:eastAsia="zh-CN"/>
        </w:rPr>
        <w:t>年第</w:t>
      </w:r>
      <w:r w:rsidRPr="00F169B2">
        <w:rPr>
          <w:rFonts w:eastAsia="Times New Roman" w:cs="Times New Roman"/>
          <w:iCs/>
          <w:lang w:val="en-GB" w:eastAsia="zh-CN"/>
        </w:rPr>
        <w:t>1</w:t>
      </w:r>
      <w:r w:rsidRPr="00F169B2">
        <w:rPr>
          <w:rFonts w:eastAsia="Batang" w:cs="Times New Roman"/>
          <w:iCs/>
          <w:lang w:val="en-GB" w:eastAsia="zh-CN"/>
        </w:rPr>
        <w:t>版</w:t>
      </w:r>
      <w:r w:rsidRPr="00F169B2">
        <w:rPr>
          <w:rFonts w:eastAsia="Batang" w:cs="Times New Roman"/>
          <w:iCs/>
          <w:lang w:val="en-GB" w:eastAsia="zh-CN"/>
        </w:rPr>
        <w:t>)</w:t>
      </w:r>
      <w:r w:rsidRPr="00F169B2">
        <w:rPr>
          <w:rFonts w:eastAsia="Batang" w:cs="Times New Roman"/>
          <w:iCs/>
          <w:lang w:val="en-GB" w:eastAsia="zh-CN"/>
        </w:rPr>
        <w:t>，</w:t>
      </w:r>
      <w:r w:rsidRPr="00F169B2">
        <w:rPr>
          <w:rFonts w:eastAsia="Batang" w:cs="Times New Roman"/>
          <w:iCs/>
          <w:lang w:val="en-GB" w:eastAsia="zh-CN"/>
        </w:rPr>
        <w:t>p. </w:t>
      </w:r>
      <w:r w:rsidRPr="00F169B2">
        <w:rPr>
          <w:rFonts w:eastAsia="Times New Roman" w:cs="Times New Roman"/>
          <w:iCs/>
          <w:lang w:val="en-GB" w:eastAsia="zh-CN"/>
        </w:rPr>
        <w:t>178.</w:t>
      </w:r>
    </w:p>
    <w:p w:rsidR="00F169B2" w:rsidRPr="00F169B2" w:rsidRDefault="00F169B2" w:rsidP="00F169B2">
      <w:pPr>
        <w:tabs>
          <w:tab w:val="left" w:pos="850"/>
          <w:tab w:val="left" w:pos="1191"/>
          <w:tab w:val="left" w:pos="1531"/>
        </w:tabs>
        <w:ind w:left="567" w:hanging="567"/>
        <w:rPr>
          <w:rFonts w:eastAsia="Times New Roman" w:cs="Arial"/>
          <w:iCs/>
          <w:lang w:val="en-GB" w:eastAsia="zh-CN"/>
        </w:rPr>
      </w:pPr>
      <w:r w:rsidRPr="00F169B2">
        <w:rPr>
          <w:rFonts w:eastAsia="Times New Roman" w:cs="Arial"/>
          <w:iCs/>
          <w:lang w:eastAsia="zh-CN"/>
        </w:rPr>
        <w:t xml:space="preserve">van der Eng, P, and J-P. </w:t>
      </w:r>
      <w:r w:rsidRPr="00F169B2">
        <w:rPr>
          <w:rFonts w:eastAsia="Times New Roman" w:cs="Arial"/>
          <w:iCs/>
          <w:lang w:val="en-GB" w:eastAsia="zh-CN"/>
        </w:rPr>
        <w:t>Bassino, “The First East Asian Miracle: Wages, Living Standards and the Foundations of Modern Economic Growth in Southeast Asia, 1880-1938”, Paper presented at the 7th EuroSEAS conference (Lisbon, June 2013).</w:t>
      </w:r>
    </w:p>
    <w:p w:rsidR="00F169B2" w:rsidRPr="00F169B2" w:rsidRDefault="00F169B2" w:rsidP="00F169B2">
      <w:pPr>
        <w:tabs>
          <w:tab w:val="left" w:pos="850"/>
          <w:tab w:val="left" w:pos="1191"/>
          <w:tab w:val="left" w:pos="1531"/>
        </w:tabs>
        <w:ind w:left="567" w:hanging="567"/>
        <w:rPr>
          <w:rFonts w:eastAsia="Times New Roman" w:cs="Arial"/>
          <w:iCs/>
          <w:lang w:val="en-GB" w:eastAsia="zh-CN"/>
        </w:rPr>
      </w:pPr>
      <w:r w:rsidRPr="00F169B2">
        <w:rPr>
          <w:rFonts w:eastAsia="Times New Roman" w:cs="Arial"/>
          <w:iCs/>
          <w:lang w:val="en-GB" w:eastAsia="zh-CN"/>
        </w:rPr>
        <w:lastRenderedPageBreak/>
        <w:t xml:space="preserve">van Zanden, J. L. (1999) “Wages and the standard of living in Europe, 1500-1800”, </w:t>
      </w:r>
      <w:r w:rsidRPr="00F169B2">
        <w:rPr>
          <w:rFonts w:eastAsia="Times New Roman" w:cs="Arial"/>
          <w:i/>
          <w:iCs/>
          <w:lang w:val="en-GB" w:eastAsia="zh-CN"/>
        </w:rPr>
        <w:t xml:space="preserve">European Review of Economic History </w:t>
      </w:r>
      <w:r w:rsidRPr="00F169B2">
        <w:rPr>
          <w:rFonts w:eastAsia="Times New Roman" w:cs="Arial"/>
          <w:iCs/>
          <w:lang w:val="en-GB" w:eastAsia="zh-CN"/>
        </w:rPr>
        <w:t>2, pp. 175-197.</w:t>
      </w:r>
    </w:p>
    <w:bookmarkEnd w:id="0"/>
    <w:p w:rsidR="00F169B2" w:rsidRPr="00F169B2" w:rsidRDefault="00F169B2" w:rsidP="00417558">
      <w:pPr>
        <w:rPr>
          <w:lang w:val="en-GB"/>
        </w:rPr>
      </w:pPr>
    </w:p>
    <w:p w:rsidR="00417558" w:rsidRDefault="00417558" w:rsidP="003132A6">
      <w:pPr>
        <w:rPr>
          <w:lang w:val="en-US"/>
        </w:rPr>
      </w:pPr>
    </w:p>
    <w:p w:rsidR="00417558" w:rsidRDefault="00417558" w:rsidP="003132A6">
      <w:pPr>
        <w:rPr>
          <w:lang w:val="en-US"/>
        </w:rPr>
      </w:pPr>
    </w:p>
    <w:p w:rsidR="00417558" w:rsidRDefault="00417558" w:rsidP="003132A6">
      <w:pPr>
        <w:rPr>
          <w:lang w:val="en-US"/>
        </w:rPr>
      </w:pPr>
    </w:p>
    <w:p w:rsidR="00471780" w:rsidRDefault="00471780" w:rsidP="003132A6">
      <w:pPr>
        <w:rPr>
          <w:lang w:val="en-US"/>
        </w:rPr>
      </w:pPr>
    </w:p>
    <w:p w:rsidR="00471780" w:rsidRPr="00417558" w:rsidRDefault="00471780" w:rsidP="003132A6">
      <w:pPr>
        <w:rPr>
          <w:lang w:val="en-US"/>
        </w:rPr>
      </w:pPr>
    </w:p>
    <w:sectPr w:rsidR="00471780" w:rsidRPr="00417558" w:rsidSect="007A56C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C59" w:rsidRDefault="00A02C59" w:rsidP="00417558">
      <w:r>
        <w:separator/>
      </w:r>
    </w:p>
  </w:endnote>
  <w:endnote w:type="continuationSeparator" w:id="0">
    <w:p w:rsidR="00A02C59" w:rsidRDefault="00A02C59" w:rsidP="00417558">
      <w:r>
        <w:continuationSeparator/>
      </w:r>
    </w:p>
  </w:endnote>
  <w:endnote w:id="1">
    <w:p w:rsidR="00CF30C8" w:rsidRPr="00D454BA" w:rsidRDefault="00CF30C8" w:rsidP="00CF30C8">
      <w:pPr>
        <w:pStyle w:val="EndnoteText"/>
      </w:pPr>
      <w:r w:rsidRPr="00412686">
        <w:rPr>
          <w:rStyle w:val="EndnoteReference"/>
        </w:rPr>
        <w:endnoteRef/>
      </w:r>
      <w:r w:rsidRPr="00412686">
        <w:t xml:space="preserve"> </w:t>
      </w:r>
      <w:r>
        <w:tab/>
      </w:r>
      <w:r w:rsidRPr="00D454BA">
        <w:t>This includes various cities in England, the Netherlands, Belgium, France,</w:t>
      </w:r>
      <w:r>
        <w:t xml:space="preserve"> Italy, Spain, Germany, Austria</w:t>
      </w:r>
      <w:r w:rsidRPr="00D454BA">
        <w:t xml:space="preserve"> and Poland. His data builds on studies by the famous International Scientific Committee on Price History in the 1930s and </w:t>
      </w:r>
      <w:r>
        <w:t>19</w:t>
      </w:r>
      <w:r w:rsidRPr="00D454BA">
        <w:t>40s.</w:t>
      </w:r>
    </w:p>
  </w:endnote>
  <w:endnote w:id="2">
    <w:p w:rsidR="00CF30C8" w:rsidRPr="00D454BA" w:rsidRDefault="00CF30C8" w:rsidP="00CF30C8">
      <w:pPr>
        <w:pStyle w:val="EndnoteText"/>
      </w:pPr>
      <w:r w:rsidRPr="00412686">
        <w:rPr>
          <w:rStyle w:val="EndnoteReference"/>
        </w:rPr>
        <w:endnoteRef/>
      </w:r>
      <w:r w:rsidRPr="00412686">
        <w:t xml:space="preserve"> </w:t>
      </w:r>
      <w:r>
        <w:tab/>
      </w:r>
      <w:r w:rsidRPr="00D454BA">
        <w:t xml:space="preserve">Published for 1924 to 1945: </w:t>
      </w:r>
      <w:r w:rsidRPr="00D454BA">
        <w:rPr>
          <w:i/>
        </w:rPr>
        <w:t>International Labour Review</w:t>
      </w:r>
      <w:r w:rsidRPr="00D454BA">
        <w:t xml:space="preserve">; for 1934-57: </w:t>
      </w:r>
      <w:r w:rsidRPr="00D454BA">
        <w:rPr>
          <w:i/>
        </w:rPr>
        <w:t>Yearbook of Labour Statistics</w:t>
      </w:r>
      <w:r w:rsidRPr="00D454BA">
        <w:t xml:space="preserve">; 1951-63: </w:t>
      </w:r>
      <w:r w:rsidRPr="00D454BA">
        <w:rPr>
          <w:i/>
        </w:rPr>
        <w:t>Statistical Supplement</w:t>
      </w:r>
      <w:r w:rsidRPr="00D454BA">
        <w:t xml:space="preserve"> to the </w:t>
      </w:r>
      <w:r w:rsidRPr="00D454BA">
        <w:rPr>
          <w:i/>
        </w:rPr>
        <w:t>International Labour Review</w:t>
      </w:r>
      <w:r w:rsidRPr="00D454BA">
        <w:t xml:space="preserve">; for 1964+ </w:t>
      </w:r>
      <w:r w:rsidRPr="00D454BA">
        <w:rPr>
          <w:i/>
        </w:rPr>
        <w:t>Bulletin of Labour Statistics</w:t>
      </w:r>
      <w:r w:rsidRPr="00D454BA">
        <w:t>; after 1983 data online.</w:t>
      </w:r>
    </w:p>
  </w:endnote>
  <w:endnote w:id="3">
    <w:p w:rsidR="00CF30C8" w:rsidRPr="00D454BA" w:rsidRDefault="00CF30C8" w:rsidP="00CF30C8">
      <w:pPr>
        <w:pStyle w:val="EndnoteText"/>
      </w:pPr>
      <w:r w:rsidRPr="00412686">
        <w:rPr>
          <w:rStyle w:val="EndnoteReference"/>
        </w:rPr>
        <w:endnoteRef/>
      </w:r>
      <w:r w:rsidRPr="00D454BA">
        <w:t xml:space="preserve"> </w:t>
      </w:r>
      <w:r>
        <w:tab/>
        <w:t>Also see</w:t>
      </w:r>
      <w:r w:rsidRPr="00D454BA">
        <w:t xml:space="preserve"> </w:t>
      </w:r>
      <w:hyperlink r:id="rId1" w:history="1">
        <w:r w:rsidRPr="00D454BA">
          <w:rPr>
            <w:rStyle w:val="Hyperlink1"/>
          </w:rPr>
          <w:t>http://laborsta.ilo.org/applv8/data/labocte.html</w:t>
        </w:r>
      </w:hyperlink>
      <w:r w:rsidRPr="00D454BA">
        <w:t xml:space="preserve"> </w:t>
      </w:r>
    </w:p>
  </w:endnote>
  <w:endnote w:id="4">
    <w:p w:rsidR="00CF30C8" w:rsidRPr="00D454BA" w:rsidRDefault="00CF30C8" w:rsidP="00CF30C8">
      <w:pPr>
        <w:pStyle w:val="EndnoteText"/>
      </w:pPr>
      <w:r w:rsidRPr="00412686">
        <w:rPr>
          <w:rStyle w:val="EndnoteReference"/>
        </w:rPr>
        <w:endnoteRef/>
      </w:r>
      <w:r w:rsidRPr="00412686">
        <w:t xml:space="preserve"> </w:t>
      </w:r>
      <w:r>
        <w:tab/>
      </w:r>
      <w:r w:rsidRPr="00D454BA">
        <w:t xml:space="preserve">For more information on the rise of wage labour across the globe see the Global Collaboratory on </w:t>
      </w:r>
      <w:r>
        <w:t xml:space="preserve">the History of </w:t>
      </w:r>
      <w:r w:rsidRPr="00D454BA">
        <w:t xml:space="preserve">Labour Relations: </w:t>
      </w:r>
      <w:hyperlink r:id="rId2" w:history="1">
        <w:r w:rsidRPr="00D454BA">
          <w:rPr>
            <w:rStyle w:val="Hyperlink1"/>
          </w:rPr>
          <w:t>https://collab.iisg.nl/web/labourrelations</w:t>
        </w:r>
      </w:hyperlink>
      <w:r w:rsidRPr="00D454BA">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76668"/>
      <w:docPartObj>
        <w:docPartGallery w:val="Page Numbers (Bottom of Page)"/>
        <w:docPartUnique/>
      </w:docPartObj>
    </w:sdtPr>
    <w:sdtEndPr/>
    <w:sdtContent>
      <w:p w:rsidR="00417558" w:rsidRDefault="00F21240">
        <w:pPr>
          <w:pStyle w:val="Footer"/>
          <w:jc w:val="center"/>
        </w:pPr>
        <w:r>
          <w:fldChar w:fldCharType="begin"/>
        </w:r>
        <w:r>
          <w:instrText xml:space="preserve"> PAGE   \* MERGEFORMAT </w:instrText>
        </w:r>
        <w:r>
          <w:fldChar w:fldCharType="separate"/>
        </w:r>
        <w:r w:rsidR="00F169B2">
          <w:rPr>
            <w:noProof/>
          </w:rPr>
          <w:t>5</w:t>
        </w:r>
        <w:r>
          <w:rPr>
            <w:noProof/>
          </w:rPr>
          <w:fldChar w:fldCharType="end"/>
        </w:r>
      </w:p>
    </w:sdtContent>
  </w:sdt>
  <w:p w:rsidR="00417558" w:rsidRDefault="004175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C59" w:rsidRDefault="00A02C59" w:rsidP="00417558">
      <w:r>
        <w:separator/>
      </w:r>
    </w:p>
  </w:footnote>
  <w:footnote w:type="continuationSeparator" w:id="0">
    <w:p w:rsidR="00A02C59" w:rsidRDefault="00A02C59" w:rsidP="00417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374"/>
    <w:multiLevelType w:val="hybridMultilevel"/>
    <w:tmpl w:val="61B612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0D0E49"/>
    <w:multiLevelType w:val="multilevel"/>
    <w:tmpl w:val="68CA89B6"/>
    <w:lvl w:ilvl="0">
      <w:start w:val="1"/>
      <w:numFmt w:val="upperLetter"/>
      <w:lvlText w:val="%1."/>
      <w:lvlJc w:val="left"/>
      <w:pPr>
        <w:tabs>
          <w:tab w:val="num" w:pos="850"/>
        </w:tabs>
        <w:ind w:left="850" w:hanging="408"/>
      </w:pPr>
    </w:lvl>
    <w:lvl w:ilvl="1">
      <w:start w:val="1"/>
      <w:numFmt w:val="decimal"/>
      <w:lvlText w:val="%2."/>
      <w:lvlJc w:val="left"/>
      <w:pPr>
        <w:tabs>
          <w:tab w:val="num" w:pos="1191"/>
        </w:tabs>
        <w:ind w:left="1191" w:hanging="341"/>
      </w:pPr>
    </w:lvl>
    <w:lvl w:ilvl="2">
      <w:start w:val="1"/>
      <w:numFmt w:val="decimal"/>
      <w:lvlText w:val="%3."/>
      <w:lvlJc w:val="left"/>
      <w:pPr>
        <w:tabs>
          <w:tab w:val="num" w:pos="1474"/>
        </w:tabs>
        <w:ind w:left="1474" w:hanging="340"/>
      </w:pPr>
    </w:lvl>
    <w:lvl w:ilvl="3">
      <w:start w:val="1"/>
      <w:numFmt w:val="decimal"/>
      <w:lvlText w:val="%4."/>
      <w:lvlJc w:val="left"/>
      <w:pPr>
        <w:tabs>
          <w:tab w:val="num" w:pos="1757"/>
        </w:tabs>
        <w:ind w:left="1757" w:hanging="340"/>
      </w:pPr>
    </w:lvl>
    <w:lvl w:ilvl="4">
      <w:start w:val="1"/>
      <w:numFmt w:val="decimal"/>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3BA9"/>
    <w:rsid w:val="0001485D"/>
    <w:rsid w:val="00073BA9"/>
    <w:rsid w:val="000A5D8F"/>
    <w:rsid w:val="000C23CC"/>
    <w:rsid w:val="0018359E"/>
    <w:rsid w:val="001C3A4B"/>
    <w:rsid w:val="001D03B2"/>
    <w:rsid w:val="002004D8"/>
    <w:rsid w:val="0022249F"/>
    <w:rsid w:val="002C2F4C"/>
    <w:rsid w:val="002C765E"/>
    <w:rsid w:val="00301C0D"/>
    <w:rsid w:val="003132A6"/>
    <w:rsid w:val="00331DB6"/>
    <w:rsid w:val="00417558"/>
    <w:rsid w:val="00471780"/>
    <w:rsid w:val="0049543E"/>
    <w:rsid w:val="004C280F"/>
    <w:rsid w:val="004E371B"/>
    <w:rsid w:val="005A2035"/>
    <w:rsid w:val="005D7DE0"/>
    <w:rsid w:val="006D2C22"/>
    <w:rsid w:val="00752376"/>
    <w:rsid w:val="00780B6A"/>
    <w:rsid w:val="007A56C1"/>
    <w:rsid w:val="007F759E"/>
    <w:rsid w:val="00804DEB"/>
    <w:rsid w:val="008274E7"/>
    <w:rsid w:val="008A4DC9"/>
    <w:rsid w:val="008C2A88"/>
    <w:rsid w:val="008D7E0B"/>
    <w:rsid w:val="00922358"/>
    <w:rsid w:val="0092787E"/>
    <w:rsid w:val="00953388"/>
    <w:rsid w:val="00A02C59"/>
    <w:rsid w:val="00A0480B"/>
    <w:rsid w:val="00AA754B"/>
    <w:rsid w:val="00AE4E50"/>
    <w:rsid w:val="00B04827"/>
    <w:rsid w:val="00B17D7A"/>
    <w:rsid w:val="00B53929"/>
    <w:rsid w:val="00B64C5E"/>
    <w:rsid w:val="00B65D0C"/>
    <w:rsid w:val="00BA2BA6"/>
    <w:rsid w:val="00BA77C4"/>
    <w:rsid w:val="00BB4FAB"/>
    <w:rsid w:val="00BC311F"/>
    <w:rsid w:val="00BD11A5"/>
    <w:rsid w:val="00C04629"/>
    <w:rsid w:val="00C16C16"/>
    <w:rsid w:val="00C35B1A"/>
    <w:rsid w:val="00C566C7"/>
    <w:rsid w:val="00C66743"/>
    <w:rsid w:val="00C809B2"/>
    <w:rsid w:val="00C96AD9"/>
    <w:rsid w:val="00CB59EE"/>
    <w:rsid w:val="00CF30C8"/>
    <w:rsid w:val="00D90C18"/>
    <w:rsid w:val="00D943F7"/>
    <w:rsid w:val="00DF2464"/>
    <w:rsid w:val="00E3589C"/>
    <w:rsid w:val="00E42E4F"/>
    <w:rsid w:val="00E6551D"/>
    <w:rsid w:val="00F169B2"/>
    <w:rsid w:val="00F21240"/>
    <w:rsid w:val="00F42E54"/>
    <w:rsid w:val="00F445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C8D7B-EE41-4001-8410-98906103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unhideWhenUsed/>
    <w:rsid w:val="00C04629"/>
    <w:rPr>
      <w:sz w:val="16"/>
      <w:szCs w:val="16"/>
    </w:rPr>
  </w:style>
  <w:style w:type="paragraph" w:styleId="CommentText">
    <w:name w:val="annotation text"/>
    <w:basedOn w:val="Normal"/>
    <w:link w:val="CommentTextChar"/>
    <w:uiPriority w:val="99"/>
    <w:unhideWhenUsed/>
    <w:rsid w:val="00C04629"/>
    <w:rPr>
      <w:sz w:val="20"/>
      <w:szCs w:val="20"/>
    </w:rPr>
  </w:style>
  <w:style w:type="character" w:customStyle="1" w:styleId="CommentTextChar">
    <w:name w:val="Comment Text Char"/>
    <w:basedOn w:val="DefaultParagraphFont"/>
    <w:link w:val="CommentText"/>
    <w:uiPriority w:val="99"/>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character" w:customStyle="1" w:styleId="field-content">
    <w:name w:val="field-content"/>
    <w:basedOn w:val="DefaultParagraphFont"/>
    <w:rsid w:val="00804DEB"/>
  </w:style>
  <w:style w:type="character" w:styleId="Strong">
    <w:name w:val="Strong"/>
    <w:basedOn w:val="DefaultParagraphFont"/>
    <w:uiPriority w:val="22"/>
    <w:qFormat/>
    <w:rsid w:val="00417558"/>
    <w:rPr>
      <w:b/>
      <w:bCs/>
    </w:rPr>
  </w:style>
  <w:style w:type="paragraph" w:styleId="ListParagraph">
    <w:name w:val="List Paragraph"/>
    <w:basedOn w:val="Normal"/>
    <w:uiPriority w:val="34"/>
    <w:qFormat/>
    <w:rsid w:val="00417558"/>
    <w:pPr>
      <w:ind w:left="720"/>
      <w:contextualSpacing/>
    </w:pPr>
  </w:style>
  <w:style w:type="paragraph" w:styleId="Header">
    <w:name w:val="header"/>
    <w:basedOn w:val="Normal"/>
    <w:link w:val="HeaderChar"/>
    <w:uiPriority w:val="99"/>
    <w:semiHidden/>
    <w:unhideWhenUsed/>
    <w:rsid w:val="00417558"/>
    <w:pPr>
      <w:tabs>
        <w:tab w:val="center" w:pos="4536"/>
        <w:tab w:val="right" w:pos="9072"/>
      </w:tabs>
    </w:pPr>
  </w:style>
  <w:style w:type="character" w:customStyle="1" w:styleId="HeaderChar">
    <w:name w:val="Header Char"/>
    <w:basedOn w:val="DefaultParagraphFont"/>
    <w:link w:val="Header"/>
    <w:uiPriority w:val="99"/>
    <w:semiHidden/>
    <w:rsid w:val="00417558"/>
  </w:style>
  <w:style w:type="paragraph" w:styleId="Footer">
    <w:name w:val="footer"/>
    <w:basedOn w:val="Normal"/>
    <w:link w:val="FooterChar"/>
    <w:uiPriority w:val="99"/>
    <w:unhideWhenUsed/>
    <w:rsid w:val="00417558"/>
    <w:pPr>
      <w:tabs>
        <w:tab w:val="center" w:pos="4536"/>
        <w:tab w:val="right" w:pos="9072"/>
      </w:tabs>
    </w:pPr>
  </w:style>
  <w:style w:type="character" w:customStyle="1" w:styleId="FooterChar">
    <w:name w:val="Footer Char"/>
    <w:basedOn w:val="DefaultParagraphFont"/>
    <w:link w:val="Footer"/>
    <w:uiPriority w:val="99"/>
    <w:rsid w:val="00417558"/>
  </w:style>
  <w:style w:type="character" w:styleId="Emphasis">
    <w:name w:val="Emphasis"/>
    <w:basedOn w:val="DefaultParagraphFont"/>
    <w:uiPriority w:val="20"/>
    <w:qFormat/>
    <w:rsid w:val="002C2F4C"/>
    <w:rPr>
      <w:i/>
      <w:iCs/>
    </w:rPr>
  </w:style>
  <w:style w:type="paragraph" w:styleId="EndnoteText">
    <w:name w:val="endnote text"/>
    <w:basedOn w:val="Normal"/>
    <w:link w:val="EndnoteTextChar"/>
    <w:semiHidden/>
    <w:rsid w:val="00CF30C8"/>
    <w:pPr>
      <w:tabs>
        <w:tab w:val="left" w:pos="850"/>
        <w:tab w:val="left" w:pos="1191"/>
        <w:tab w:val="left" w:pos="1531"/>
      </w:tabs>
      <w:spacing w:after="240"/>
      <w:ind w:left="850" w:hanging="850"/>
      <w:jc w:val="both"/>
    </w:pPr>
    <w:rPr>
      <w:rFonts w:ascii="Times New Roman" w:eastAsia="Times New Roman" w:hAnsi="Times New Roman" w:cs="Times New Roman"/>
      <w:sz w:val="20"/>
      <w:szCs w:val="20"/>
      <w:lang w:val="en-GB" w:eastAsia="zh-CN"/>
    </w:rPr>
  </w:style>
  <w:style w:type="character" w:customStyle="1" w:styleId="EndnoteTextChar">
    <w:name w:val="Endnote Text Char"/>
    <w:basedOn w:val="DefaultParagraphFont"/>
    <w:link w:val="EndnoteText"/>
    <w:semiHidden/>
    <w:rsid w:val="00CF30C8"/>
    <w:rPr>
      <w:rFonts w:ascii="Times New Roman" w:eastAsia="Times New Roman" w:hAnsi="Times New Roman" w:cs="Times New Roman"/>
      <w:sz w:val="20"/>
      <w:szCs w:val="20"/>
      <w:lang w:val="en-GB" w:eastAsia="zh-CN"/>
    </w:rPr>
  </w:style>
  <w:style w:type="character" w:customStyle="1" w:styleId="Hyperlink1">
    <w:name w:val="Hyperlink1"/>
    <w:basedOn w:val="DefaultParagraphFont"/>
    <w:uiPriority w:val="99"/>
    <w:unhideWhenUsed/>
    <w:rsid w:val="00CF30C8"/>
    <w:rPr>
      <w:color w:val="0000FF"/>
      <w:u w:val="single"/>
    </w:rPr>
  </w:style>
  <w:style w:type="character" w:styleId="EndnoteReference">
    <w:name w:val="endnote reference"/>
    <w:basedOn w:val="DefaultParagraphFont"/>
    <w:uiPriority w:val="99"/>
    <w:semiHidden/>
    <w:unhideWhenUsed/>
    <w:rsid w:val="00CF30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77735">
      <w:bodyDiv w:val="1"/>
      <w:marLeft w:val="0"/>
      <w:marRight w:val="0"/>
      <w:marTop w:val="0"/>
      <w:marBottom w:val="0"/>
      <w:divBdr>
        <w:top w:val="none" w:sz="0" w:space="0" w:color="auto"/>
        <w:left w:val="none" w:sz="0" w:space="0" w:color="auto"/>
        <w:bottom w:val="none" w:sz="0" w:space="0" w:color="auto"/>
        <w:right w:val="none" w:sz="0" w:space="0" w:color="auto"/>
      </w:divBdr>
      <w:divsChild>
        <w:div w:id="870724211">
          <w:marLeft w:val="0"/>
          <w:marRight w:val="0"/>
          <w:marTop w:val="0"/>
          <w:marBottom w:val="0"/>
          <w:divBdr>
            <w:top w:val="none" w:sz="0" w:space="0" w:color="auto"/>
            <w:left w:val="none" w:sz="0" w:space="0" w:color="auto"/>
            <w:bottom w:val="none" w:sz="0" w:space="0" w:color="auto"/>
            <w:right w:val="none" w:sz="0" w:space="0" w:color="auto"/>
          </w:divBdr>
        </w:div>
        <w:div w:id="2035569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as.repec.org/s/iaw/iawdi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deas.repec.org/p/iaw/iawdip/7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ber.org/oww/Technical_document_1983-2003_standardizationv3.pdf" TargetMode="External"/><Relationship Id="rId4" Type="http://schemas.openxmlformats.org/officeDocument/2006/relationships/webSettings" Target="webSettings.xml"/><Relationship Id="rId9" Type="http://schemas.openxmlformats.org/officeDocument/2006/relationships/hyperlink" Target="http://laborsta.ilo.org/"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collab.iisg.nl/web/labourrelations" TargetMode="External"/><Relationship Id="rId1" Type="http://schemas.openxmlformats.org/officeDocument/2006/relationships/hyperlink" Target="http://laborsta.ilo.org/applv8/data/laboc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5</cp:revision>
  <cp:lastPrinted>2012-04-10T10:31:00Z</cp:lastPrinted>
  <dcterms:created xsi:type="dcterms:W3CDTF">2014-07-25T06:33:00Z</dcterms:created>
  <dcterms:modified xsi:type="dcterms:W3CDTF">2014-07-25T07:04:00Z</dcterms:modified>
</cp:coreProperties>
</file>