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66" w:rsidRDefault="00073BA9" w:rsidP="0022249F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CE489E">
        <w:rPr>
          <w:b/>
          <w:sz w:val="28"/>
          <w:szCs w:val="28"/>
          <w:lang w:val="en-US"/>
        </w:rPr>
        <w:t>Latent democracy variable</w:t>
      </w:r>
    </w:p>
    <w:p w:rsidR="003B61A2" w:rsidRDefault="003B61A2" w:rsidP="0022249F">
      <w:pPr>
        <w:rPr>
          <w:lang w:val="en-US"/>
        </w:rPr>
      </w:pP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r w:rsidR="00CE489E">
        <w:rPr>
          <w:lang w:val="en-US"/>
        </w:rPr>
        <w:t>Latent Democracy variable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r w:rsidR="00CE489E">
        <w:rPr>
          <w:lang w:val="en-US"/>
        </w:rPr>
        <w:t xml:space="preserve"> </w:t>
      </w:r>
      <w:proofErr w:type="spellStart"/>
      <w:r w:rsidR="00CE489E">
        <w:rPr>
          <w:lang w:val="en-US"/>
        </w:rPr>
        <w:t>Foldvari</w:t>
      </w:r>
      <w:proofErr w:type="gramStart"/>
      <w:r w:rsidR="00CE489E">
        <w:rPr>
          <w:lang w:val="en-US"/>
        </w:rPr>
        <w:t>,P</w:t>
      </w:r>
      <w:proofErr w:type="spellEnd"/>
      <w:proofErr w:type="gramEnd"/>
      <w:r w:rsidR="00CE489E">
        <w:rPr>
          <w:lang w:val="en-US"/>
        </w:rPr>
        <w:t>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CE489E">
        <w:rPr>
          <w:lang w:val="en-US"/>
        </w:rPr>
        <w:t>27.06.2014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F324B7">
      <w:pPr>
        <w:jc w:val="both"/>
        <w:rPr>
          <w:lang w:val="en-US"/>
        </w:rPr>
      </w:pPr>
      <w:r>
        <w:rPr>
          <w:lang w:val="en-US"/>
        </w:rPr>
        <w:tab/>
        <w:t>-</w:t>
      </w:r>
      <w:r w:rsidR="00F324B7">
        <w:rPr>
          <w:lang w:val="en-US"/>
        </w:rPr>
        <w:t xml:space="preserve"> </w:t>
      </w:r>
      <w:r w:rsidR="00140633">
        <w:rPr>
          <w:lang w:val="en-US"/>
        </w:rPr>
        <w:t>Latent democracy variable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CE489E">
        <w:rPr>
          <w:lang w:val="en-US"/>
        </w:rPr>
        <w:t>dimensionless</w:t>
      </w:r>
      <w:proofErr w:type="gramEnd"/>
      <w:r w:rsidR="00140633">
        <w:rPr>
          <w:lang w:val="en-US"/>
        </w:rPr>
        <w:t xml:space="preserve"> (extracted latent variable)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3B61A2">
        <w:rPr>
          <w:lang w:val="en-US"/>
        </w:rPr>
        <w:t>democracy</w:t>
      </w:r>
      <w:proofErr w:type="gramEnd"/>
      <w:r w:rsidR="003B61A2">
        <w:rPr>
          <w:lang w:val="en-US"/>
        </w:rPr>
        <w:t xml:space="preserve">, politics, institutions, </w:t>
      </w:r>
      <w:proofErr w:type="spellStart"/>
      <w:r w:rsidR="003B61A2">
        <w:rPr>
          <w:lang w:val="en-US"/>
        </w:rPr>
        <w:t>polityIV</w:t>
      </w:r>
      <w:proofErr w:type="spellEnd"/>
      <w:r w:rsidR="00CE489E">
        <w:rPr>
          <w:lang w:val="en-US"/>
        </w:rPr>
        <w:t xml:space="preserve">, Index of </w:t>
      </w:r>
      <w:r w:rsidR="00140633">
        <w:rPr>
          <w:lang w:val="en-US"/>
        </w:rPr>
        <w:t>Democracy</w:t>
      </w:r>
      <w:r w:rsidR="00CE489E">
        <w:rPr>
          <w:lang w:val="en-US"/>
        </w:rPr>
        <w:t xml:space="preserve">, </w:t>
      </w:r>
      <w:proofErr w:type="spellStart"/>
      <w:r w:rsidR="00CE489E">
        <w:rPr>
          <w:lang w:val="en-US"/>
        </w:rPr>
        <w:t>Vanhanen</w:t>
      </w:r>
      <w:proofErr w:type="spellEnd"/>
      <w:r w:rsidR="00CE489E">
        <w:rPr>
          <w:lang w:val="en-US"/>
        </w:rPr>
        <w:t xml:space="preserve">, 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140633">
        <w:rPr>
          <w:lang w:val="en-US"/>
        </w:rPr>
        <w:t xml:space="preserve">The latent democracy variable extracted from five components of the </w:t>
      </w:r>
      <w:proofErr w:type="spellStart"/>
      <w:r w:rsidR="00140633">
        <w:rPr>
          <w:lang w:val="en-US"/>
        </w:rPr>
        <w:t>PoltiyIV</w:t>
      </w:r>
      <w:proofErr w:type="spellEnd"/>
      <w:r w:rsidR="00140633">
        <w:rPr>
          <w:lang w:val="en-US"/>
        </w:rPr>
        <w:t xml:space="preserve"> (XRCOMP, XROPEN, XCONST, PARCOMP, </w:t>
      </w:r>
      <w:proofErr w:type="gramStart"/>
      <w:r w:rsidR="00140633">
        <w:rPr>
          <w:lang w:val="en-US"/>
        </w:rPr>
        <w:t>PARREG</w:t>
      </w:r>
      <w:proofErr w:type="gramEnd"/>
      <w:r w:rsidR="00140633">
        <w:rPr>
          <w:lang w:val="en-US"/>
        </w:rPr>
        <w:t xml:space="preserve">) and two components of </w:t>
      </w:r>
      <w:proofErr w:type="spellStart"/>
      <w:r w:rsidR="00140633">
        <w:rPr>
          <w:lang w:val="en-US"/>
        </w:rPr>
        <w:t>Vanhanen’s</w:t>
      </w:r>
      <w:proofErr w:type="spellEnd"/>
      <w:r w:rsidR="00140633">
        <w:rPr>
          <w:lang w:val="en-US"/>
        </w:rPr>
        <w:t xml:space="preserve"> Index of </w:t>
      </w:r>
      <w:proofErr w:type="spellStart"/>
      <w:r w:rsidR="00140633">
        <w:rPr>
          <w:lang w:val="en-US"/>
        </w:rPr>
        <w:t>Demcoracy</w:t>
      </w:r>
      <w:proofErr w:type="spellEnd"/>
      <w:r w:rsidR="00140633">
        <w:rPr>
          <w:lang w:val="en-US"/>
        </w:rPr>
        <w:t xml:space="preserve"> (participation and competition)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40633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1850-200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140633">
        <w:rPr>
          <w:lang w:val="en-US"/>
        </w:rPr>
        <w:t>varying 38 (1850) between 139 (2000)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CE489E">
        <w:rPr>
          <w:lang w:val="en-US"/>
        </w:rPr>
        <w:t>Factor Analysis (measurement error model)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iv. Conjectures</w:t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proofErr w:type="spellStart"/>
      <w:r w:rsidRPr="00513166">
        <w:rPr>
          <w:lang w:val="en-US"/>
        </w:rPr>
        <w:t>n.a</w:t>
      </w:r>
      <w:proofErr w:type="spellEnd"/>
      <w:r w:rsidRPr="00513166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140633" w:rsidRDefault="00B513ED" w:rsidP="00140633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  <w:lang w:val="hu-HU"/>
        </w:rPr>
      </w:pPr>
      <w:r>
        <w:rPr>
          <w:lang w:val="en-US"/>
        </w:rPr>
        <w:t xml:space="preserve">As specified in </w:t>
      </w:r>
      <w:proofErr w:type="spellStart"/>
      <w:r w:rsidR="00140633" w:rsidRPr="00140633">
        <w:rPr>
          <w:lang w:val="en-US"/>
        </w:rPr>
        <w:t>Foldvari</w:t>
      </w:r>
      <w:proofErr w:type="spellEnd"/>
      <w:r w:rsidR="00140633" w:rsidRPr="00140633">
        <w:rPr>
          <w:lang w:val="en-US"/>
        </w:rPr>
        <w:t>, P.: A latent democracy measure 1850-2000, Utrecht University, Centre for Global Economic History, Working paper no. 59</w:t>
      </w:r>
      <w:r w:rsidR="00140633">
        <w:rPr>
          <w:lang w:val="en-US"/>
        </w:rPr>
        <w:t>.</w:t>
      </w:r>
    </w:p>
    <w:p w:rsidR="00140633" w:rsidRPr="00140633" w:rsidRDefault="00140633" w:rsidP="00140633">
      <w:pPr>
        <w:ind w:left="709" w:hanging="709"/>
        <w:rPr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140633" w:rsidRDefault="00140633" w:rsidP="007A5642">
      <w:pPr>
        <w:pStyle w:val="Title"/>
        <w:pBdr>
          <w:bottom w:val="none" w:sz="0" w:space="0" w:color="auto"/>
        </w:pBdr>
        <w:jc w:val="both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</w:pPr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The indicator should be used for cross-country comparisons. It is based on standardized democracy measures, hence its values should be interpreted as relative and not as absolute measures of the </w:t>
      </w:r>
      <w:proofErr w:type="gramStart"/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degree</w:t>
      </w:r>
      <w:proofErr w:type="gramEnd"/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 of democracy. The time trend observed for a particular country does not reflects changes in the magnitude of democracy, but rather its relative position within the sample.  </w:t>
      </w:r>
      <w:r w:rsidR="00B513ED"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For further information or links to the original data please visit the institutions hub of the CLIO-INFRA: </w:t>
      </w:r>
      <w:r w:rsidR="00D955D9">
        <w:fldChar w:fldCharType="begin"/>
      </w:r>
      <w:r w:rsidR="00D955D9" w:rsidRPr="00D955D9">
        <w:rPr>
          <w:lang w:val="en-US"/>
        </w:rPr>
        <w:instrText xml:space="preserve"> HYPERLINK "http://www.cgeh.nl/institutions-hub" </w:instrText>
      </w:r>
      <w:r w:rsidR="00D955D9">
        <w:fldChar w:fldCharType="separate"/>
      </w:r>
      <w:r w:rsidR="00B513ED"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http://www.cgeh.nl/institutions-hub</w:t>
      </w:r>
      <w:r w:rsidR="00D955D9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fldChar w:fldCharType="end"/>
      </w:r>
      <w:r w:rsidR="003B61A2"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 </w:t>
      </w:r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. </w:t>
      </w:r>
    </w:p>
    <w:p w:rsidR="003B61A2" w:rsidRPr="00140633" w:rsidRDefault="00140633" w:rsidP="007A5642">
      <w:pPr>
        <w:pStyle w:val="Title"/>
        <w:pBdr>
          <w:bottom w:val="none" w:sz="0" w:space="0" w:color="auto"/>
        </w:pBdr>
        <w:jc w:val="both"/>
        <w:rPr>
          <w:color w:val="auto"/>
          <w:lang w:val="en-US"/>
        </w:rPr>
      </w:pPr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When using this data please refer to </w:t>
      </w:r>
      <w:proofErr w:type="spellStart"/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Foldvari</w:t>
      </w:r>
      <w:proofErr w:type="spellEnd"/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, P.: A latent democracy measure 1850-2000, Utrecht University, Centre for Global Economic History, Working paper no. </w:t>
      </w:r>
      <w:proofErr w:type="gramStart"/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59.,</w:t>
      </w:r>
      <w:proofErr w:type="gramEnd"/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 June 2014 (</w:t>
      </w:r>
      <w:hyperlink r:id="rId4" w:history="1">
        <w:r w:rsidRPr="00236363">
          <w:rPr>
            <w:rStyle w:val="Hyperlink"/>
            <w:rFonts w:asciiTheme="minorHAnsi" w:eastAsiaTheme="minorHAnsi" w:hAnsiTheme="minorHAnsi" w:cstheme="minorBidi"/>
            <w:spacing w:val="0"/>
            <w:kern w:val="0"/>
            <w:sz w:val="22"/>
            <w:szCs w:val="22"/>
            <w:lang w:val="en-US"/>
          </w:rPr>
          <w:t>http://www.cgeh.nl/working-paper-series/</w:t>
        </w:r>
      </w:hyperlink>
      <w:r w:rsidRPr="00140633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)</w:t>
      </w:r>
      <w:r w:rsidR="007A5642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 or any later </w:t>
      </w: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 xml:space="preserve">versions </w:t>
      </w:r>
      <w:r w:rsidR="007A5642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that may be published in the future</w:t>
      </w: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US"/>
        </w:rPr>
        <w:t>.</w:t>
      </w:r>
    </w:p>
    <w:sectPr w:rsidR="003B61A2" w:rsidRPr="00140633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40633"/>
    <w:rsid w:val="0018359E"/>
    <w:rsid w:val="002004D8"/>
    <w:rsid w:val="0022249F"/>
    <w:rsid w:val="002C765E"/>
    <w:rsid w:val="003132A6"/>
    <w:rsid w:val="00331DB6"/>
    <w:rsid w:val="003B61A2"/>
    <w:rsid w:val="004606F1"/>
    <w:rsid w:val="0049543E"/>
    <w:rsid w:val="004C280F"/>
    <w:rsid w:val="004E371B"/>
    <w:rsid w:val="00513166"/>
    <w:rsid w:val="005D7DE0"/>
    <w:rsid w:val="006968CF"/>
    <w:rsid w:val="006C268B"/>
    <w:rsid w:val="006E66B0"/>
    <w:rsid w:val="00752376"/>
    <w:rsid w:val="00780B6A"/>
    <w:rsid w:val="007A5642"/>
    <w:rsid w:val="007A56C1"/>
    <w:rsid w:val="00804DEB"/>
    <w:rsid w:val="008274E7"/>
    <w:rsid w:val="008A4DC9"/>
    <w:rsid w:val="008C2A88"/>
    <w:rsid w:val="008D7E0B"/>
    <w:rsid w:val="008E03EE"/>
    <w:rsid w:val="00953388"/>
    <w:rsid w:val="00A01AB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23181"/>
    <w:rsid w:val="00C35B1A"/>
    <w:rsid w:val="00C566C7"/>
    <w:rsid w:val="00C66743"/>
    <w:rsid w:val="00C809B2"/>
    <w:rsid w:val="00C96AD9"/>
    <w:rsid w:val="00CB59EE"/>
    <w:rsid w:val="00CE489E"/>
    <w:rsid w:val="00D4087B"/>
    <w:rsid w:val="00D90C18"/>
    <w:rsid w:val="00D943F7"/>
    <w:rsid w:val="00D955D9"/>
    <w:rsid w:val="00DF2464"/>
    <w:rsid w:val="00E20170"/>
    <w:rsid w:val="00E3589C"/>
    <w:rsid w:val="00E42E4F"/>
    <w:rsid w:val="00E84DCE"/>
    <w:rsid w:val="00F324B7"/>
    <w:rsid w:val="00F42E54"/>
    <w:rsid w:val="00F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9C10E6-D5C8-4267-8873-8322F80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DefaultParagraphFont"/>
    <w:rsid w:val="00804DEB"/>
  </w:style>
  <w:style w:type="paragraph" w:styleId="Title">
    <w:name w:val="Title"/>
    <w:basedOn w:val="Normal"/>
    <w:next w:val="Normal"/>
    <w:link w:val="TitleChar"/>
    <w:uiPriority w:val="10"/>
    <w:qFormat/>
    <w:rsid w:val="001406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6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geh.nl/working-paper-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2014-07-21T04:40:00Z</dcterms:created>
  <dcterms:modified xsi:type="dcterms:W3CDTF">2014-07-21T04:40:00Z</dcterms:modified>
</cp:coreProperties>
</file>